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B41C74">
      <w:pPr>
        <w:pStyle w:val="Nadpis2"/>
      </w:pPr>
      <w:bookmarkStart w:id="0" w:name="_GoBack"/>
      <w:bookmarkEnd w:id="0"/>
      <w:r>
        <w:t xml:space="preserve">Pomôcka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000000" w:rsidRDefault="00B41C74">
            <w:pPr>
              <w:pStyle w:val="Nadpis1"/>
            </w:pPr>
            <w:r>
              <w:t>Kedy zákazka spadá pod režim Dohody o vládnom obstarávaní?</w:t>
            </w:r>
          </w:p>
        </w:tc>
      </w:tr>
    </w:tbl>
    <w:p w:rsidR="00000000" w:rsidRDefault="00B41C74"/>
    <w:p w:rsidR="00000000" w:rsidRDefault="00B41C74">
      <w:pPr>
        <w:pStyle w:val="Zkladntext"/>
      </w:pPr>
      <w:r>
        <w:t>Pod režim Dohody o vládnom obstarávaní (</w:t>
      </w:r>
      <w:proofErr w:type="spellStart"/>
      <w:r>
        <w:t>Government</w:t>
      </w:r>
      <w:proofErr w:type="spellEnd"/>
      <w:r>
        <w:t xml:space="preserve"> </w:t>
      </w:r>
      <w:proofErr w:type="spellStart"/>
      <w:r>
        <w:t>Procurement</w:t>
      </w:r>
      <w:proofErr w:type="spellEnd"/>
      <w:r>
        <w:t xml:space="preserve"> </w:t>
      </w:r>
      <w:proofErr w:type="spellStart"/>
      <w:r>
        <w:t>Agreement</w:t>
      </w:r>
      <w:proofErr w:type="spellEnd"/>
      <w:r>
        <w:t xml:space="preserve"> – GPA) v podstate spadá každá verejná zákazka, ktorej odhadovaná hodnota prekračuje finančné limity uvedené v § 4</w:t>
      </w:r>
      <w:r>
        <w:t xml:space="preserve"> ods. 2 zákona č. 25/2006 Z. z. o verejnom obstarávaní a o zmene a doplnení niektorých zákonov. </w:t>
      </w:r>
    </w:p>
    <w:p w:rsidR="00000000" w:rsidRDefault="00B41C74"/>
    <w:p w:rsidR="00000000" w:rsidRDefault="00B41C74">
      <w:pPr>
        <w:jc w:val="both"/>
      </w:pPr>
      <w:r>
        <w:t xml:space="preserve">Pod režim GPA </w:t>
      </w:r>
      <w:r>
        <w:rPr>
          <w:b/>
          <w:bCs/>
        </w:rPr>
        <w:t>však</w:t>
      </w:r>
      <w:r>
        <w:t xml:space="preserve"> </w:t>
      </w:r>
      <w:r>
        <w:rPr>
          <w:b/>
          <w:bCs/>
        </w:rPr>
        <w:t>nespadajú</w:t>
      </w:r>
      <w:r>
        <w:t xml:space="preserve"> tie nadlimitné zákazky, ktoré sú uvedené v § 1 ods. 2 zákona č. 25/2006 Z. z., </w:t>
      </w:r>
      <w:r>
        <w:rPr>
          <w:b/>
          <w:bCs/>
          <w:i/>
          <w:iCs/>
        </w:rPr>
        <w:t>ako aj</w:t>
      </w:r>
      <w:r>
        <w:t>:</w:t>
      </w:r>
    </w:p>
    <w:p w:rsidR="00000000" w:rsidRDefault="00B41C74"/>
    <w:p w:rsidR="00000000" w:rsidRDefault="00B41C74">
      <w:pPr>
        <w:pStyle w:val="Zkladntext"/>
      </w:pPr>
      <w:r>
        <w:t>1. Zákazky zabezpečované obstarávateľmi v</w:t>
      </w:r>
      <w:r>
        <w:t>o vybraných odvetviach (podľa § 8 zákona č. 25/2006 Z. z.), ktoré sa týkajú:</w:t>
      </w:r>
    </w:p>
    <w:p w:rsidR="00000000" w:rsidRDefault="00B41C74">
      <w:pPr>
        <w:numPr>
          <w:ilvl w:val="0"/>
          <w:numId w:val="1"/>
        </w:numPr>
        <w:jc w:val="both"/>
      </w:pPr>
      <w:r>
        <w:t>poskytovania a prevádzkovania pevných sietí určených pre zásobovanie verejnosti v súvislosti s ťažbou plynu, ako aj so zásobovaním týchto sietí plynom,</w:t>
      </w:r>
    </w:p>
    <w:p w:rsidR="00000000" w:rsidRDefault="00B41C74">
      <w:pPr>
        <w:numPr>
          <w:ilvl w:val="0"/>
          <w:numId w:val="1"/>
        </w:numPr>
        <w:jc w:val="both"/>
      </w:pPr>
      <w:r>
        <w:t>poskytovania a prevádzkovan</w:t>
      </w:r>
      <w:r>
        <w:t>ia pevnej siete určenej pre zásobovanie verejnosti v súvislosti s výrobou, dopravou a distribúciou tepla, ako aj v súvislosti so zásobovaním tejto siete teplom,</w:t>
      </w:r>
    </w:p>
    <w:p w:rsidR="00000000" w:rsidRDefault="00B41C74">
      <w:pPr>
        <w:numPr>
          <w:ilvl w:val="0"/>
          <w:numId w:val="1"/>
        </w:numPr>
      </w:pPr>
      <w:r>
        <w:t>prevádzkovania sietí verejnej medzimestskej železničnej dopravy,</w:t>
      </w:r>
      <w:r>
        <w:br/>
      </w:r>
    </w:p>
    <w:p w:rsidR="00000000" w:rsidRDefault="00B41C74">
      <w:pPr>
        <w:pStyle w:val="Zkladntext"/>
      </w:pPr>
      <w:r>
        <w:t>alebo ak obstarávateľ podľa §</w:t>
      </w:r>
      <w:r>
        <w:t xml:space="preserve"> 8 vykonáva činnosť na základe osobitných alebo výlučných práv, ktoré pochádzajú z oprávnenia vydaného príslušným orgánom. </w:t>
      </w:r>
    </w:p>
    <w:p w:rsidR="00000000" w:rsidRDefault="00B41C74"/>
    <w:p w:rsidR="00000000" w:rsidRDefault="00B41C74">
      <w:pPr>
        <w:pStyle w:val="Zkladntext"/>
      </w:pPr>
      <w:r>
        <w:t>2. Zákazky realizované dotovaným subjektom v zmysle § 7 písm. a) zákona č. 25/2006 Z. z.</w:t>
      </w:r>
    </w:p>
    <w:p w:rsidR="00000000" w:rsidRDefault="00B41C74"/>
    <w:p w:rsidR="00000000" w:rsidRDefault="00B41C74">
      <w:pPr>
        <w:pStyle w:val="Zkladntext"/>
      </w:pPr>
      <w:r>
        <w:t>3. Ak ide o zákazky zadávané koncesionáro</w:t>
      </w:r>
      <w:r>
        <w:t xml:space="preserve">m, ktoré súvisia s plnením koncesnej zmluvy (koncesie na práce). </w:t>
      </w:r>
    </w:p>
    <w:p w:rsidR="00000000" w:rsidRDefault="00B41C74"/>
    <w:p w:rsidR="00000000" w:rsidRDefault="00B41C74">
      <w:r>
        <w:t>4. Ak predmetom zákazky sú „neprioritné“ služby podľa prílohy č. 3 k zákonu č. 25/2006 Z. z.</w:t>
      </w:r>
    </w:p>
    <w:p w:rsidR="00000000" w:rsidRDefault="00B41C74">
      <w:pPr>
        <w:pStyle w:val="Zkladntext"/>
      </w:pPr>
      <w:r>
        <w:t>5. Ak predmetom zákazky sú telekomunikačné služby podľa prílohy č. 2 k zákonu č. 25/2006 Z. z. v</w:t>
      </w:r>
      <w:r>
        <w:t> kategórii 5 podľa kódov CPC 7524, 7525 a 7526 (pozri aj § 4 ods. 2 písm. e) zákona č. 25/2006 Z. z.).</w:t>
      </w:r>
    </w:p>
    <w:p w:rsidR="00000000" w:rsidRDefault="00B41C74"/>
    <w:p w:rsidR="00000000" w:rsidRDefault="00B41C74">
      <w:r>
        <w:t xml:space="preserve">6. Služby výskumu a vývoja (CPC 85) – pozri kategóriu 8 v prílohe č. 2 k zákonu č. 25/2006 Z. z. </w:t>
      </w:r>
    </w:p>
    <w:p w:rsidR="00000000" w:rsidRDefault="00B41C7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000000" w:rsidRDefault="00B41C74">
            <w:pPr>
              <w:rPr>
                <w:b/>
                <w:bCs/>
              </w:rPr>
            </w:pPr>
            <w:r>
              <w:rPr>
                <w:b/>
                <w:bCs/>
              </w:rPr>
              <w:t>Poznámka:</w:t>
            </w:r>
          </w:p>
          <w:p w:rsidR="00000000" w:rsidRDefault="00B41C74">
            <w:pPr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Vzory oznámení pre uverejňovanie v Dodatku </w:t>
            </w:r>
            <w:r>
              <w:rPr>
                <w:b/>
                <w:bCs/>
                <w:sz w:val="18"/>
              </w:rPr>
              <w:t xml:space="preserve">„S“ Úradného vestníka EÚ vyžadujú predovšetkým pre štatistické účely uviesť, či predmetné obstarávanie spadá pod režim GPA. </w:t>
            </w:r>
            <w:r>
              <w:rPr>
                <w:b/>
                <w:bCs/>
                <w:i/>
                <w:iCs/>
                <w:sz w:val="18"/>
                <w:u w:val="single"/>
              </w:rPr>
              <w:t>V prípade nejasností v tejto otázke je vhodné túto rubriku označiť kladným spôsobom</w:t>
            </w:r>
            <w:r>
              <w:rPr>
                <w:b/>
                <w:bCs/>
                <w:sz w:val="18"/>
              </w:rPr>
              <w:t>.</w:t>
            </w:r>
          </w:p>
          <w:p w:rsidR="00000000" w:rsidRDefault="00B41C74">
            <w:pPr>
              <w:pStyle w:val="Zkladntext2"/>
            </w:pPr>
            <w:r>
              <w:t>Rozsah pôsobnosti GPA je podľa čl. I ods. 1 tej</w:t>
            </w:r>
            <w:r>
              <w:t>to dohody uvedený v dodatku (</w:t>
            </w:r>
            <w:proofErr w:type="spellStart"/>
            <w:r>
              <w:t>Appendix</w:t>
            </w:r>
            <w:proofErr w:type="spellEnd"/>
            <w:r>
              <w:t>) č. I, v ktorého prílohe (</w:t>
            </w:r>
            <w:proofErr w:type="spellStart"/>
            <w:r>
              <w:t>Annex</w:t>
            </w:r>
            <w:proofErr w:type="spellEnd"/>
            <w:r>
              <w:t>) č. 1 sú uvedené ústredné orgány (pozri § 6 ods. 1 písm. a) zákona č. 25/2006 Z. z.), príloha č. 2 odkazuje na všeobecné definície smerníc verejného obstarávania EÚ - obstarávatelia na n</w:t>
            </w:r>
            <w:r>
              <w:t>ižšej ako centrálnej úrovni, čo zhruba zodpovedá obstarávateľom podľa § 6 ods. 1 písm. b) až d) a ods. 2) zákona a v prílohe 3 sú uvedení ostatní obstarávatelia, napr. podľa § 8 zákona). Zoznamy obstarávateľov za EÚ priložené k prílohám 3 a 4 majú len indi</w:t>
            </w:r>
            <w:r>
              <w:t>katívny charakter, záväzné sú definície uvedené v úvode predmetných príloh. Príloha 4 k dodatku I obsahuje služby spadajúce pod režim GPA a v prílohe 5 sú uvedené stavebné práce (tieto sú v rámci GPA považované za druh služieb – CPC 51).</w:t>
            </w:r>
          </w:p>
          <w:p w:rsidR="00000000" w:rsidRDefault="00B41C74">
            <w:pPr>
              <w:jc w:val="both"/>
            </w:pPr>
            <w:r>
              <w:rPr>
                <w:b/>
                <w:bCs/>
                <w:sz w:val="18"/>
              </w:rPr>
              <w:t>Skutočnosť, že pôs</w:t>
            </w:r>
            <w:r>
              <w:rPr>
                <w:b/>
                <w:bCs/>
                <w:sz w:val="18"/>
              </w:rPr>
              <w:t xml:space="preserve">obnosť GPA je vo vzťahu na jednotlivých signatárov dohody ďalej obmedzená formou „všeobecných poznámok“ </w:t>
            </w:r>
            <w:r>
              <w:rPr>
                <w:i/>
                <w:iCs/>
                <w:sz w:val="18"/>
              </w:rPr>
              <w:t>(General Notes)</w:t>
            </w:r>
            <w:r>
              <w:rPr>
                <w:b/>
                <w:bCs/>
                <w:sz w:val="18"/>
              </w:rPr>
              <w:t>, ktoré sú uvedené spravidla v záverečnej časti príloh za jednotlivých signatárov, nezohráva žiadnu úlohu pri vyplňovaní formulára oznáme</w:t>
            </w:r>
            <w:r>
              <w:rPr>
                <w:b/>
                <w:bCs/>
                <w:sz w:val="18"/>
              </w:rPr>
              <w:t>nia.</w:t>
            </w:r>
          </w:p>
        </w:tc>
      </w:tr>
    </w:tbl>
    <w:p w:rsidR="00000000" w:rsidRDefault="00B41C74">
      <w:pPr>
        <w:pStyle w:val="Nadpis3"/>
      </w:pPr>
      <w:r>
        <w:t>Spracované podľa podkladového materiálu BMWA Berlín a zákona č. 25/2006 Z. z.</w:t>
      </w:r>
    </w:p>
    <w:p w:rsidR="00000000" w:rsidRDefault="00B41C74"/>
    <w:sectPr w:rsidR="00000000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954E9A"/>
    <w:multiLevelType w:val="hybridMultilevel"/>
    <w:tmpl w:val="1DA6C790"/>
    <w:lvl w:ilvl="0" w:tplc="36886286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cryptProviderType="rsaAES" w:cryptAlgorithmClass="hash" w:cryptAlgorithmType="typeAny" w:cryptAlgorithmSid="14" w:cryptSpinCount="100000" w:hash="XU+FwWWZWk1Rr5hiJPo80HCqvKznIqMfWk24aUrveVoGLTPSzeHve10K7/4HwkBmQND+snU9p8J/CMEd4HVtPg==" w:salt="Dbdy7qqQBpx0845N0oWeiQ=="/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C74"/>
    <w:rsid w:val="00B4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A019CF-ABC1-49A4-B32A-C767F9418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y"/>
    <w:next w:val="Normlny"/>
    <w:qFormat/>
    <w:pPr>
      <w:keepNext/>
      <w:outlineLvl w:val="1"/>
    </w:pPr>
    <w:rPr>
      <w:b/>
      <w:bCs/>
      <w:i/>
      <w:iCs/>
    </w:rPr>
  </w:style>
  <w:style w:type="paragraph" w:styleId="Nadpis3">
    <w:name w:val="heading 3"/>
    <w:basedOn w:val="Normlny"/>
    <w:next w:val="Normlny"/>
    <w:qFormat/>
    <w:pPr>
      <w:keepNext/>
      <w:outlineLvl w:val="2"/>
    </w:pPr>
    <w:rPr>
      <w:i/>
      <w:iCs/>
      <w:sz w:val="18"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semiHidden/>
    <w:pPr>
      <w:jc w:val="both"/>
    </w:pPr>
  </w:style>
  <w:style w:type="paragraph" w:styleId="Zkladntext2">
    <w:name w:val="Body Text 2"/>
    <w:basedOn w:val="Normlny"/>
    <w:semiHidden/>
    <w:pPr>
      <w:jc w:val="both"/>
    </w:pPr>
    <w:rPr>
      <w:b/>
      <w:bCs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2686</Characters>
  <Application>Microsoft Office Word</Application>
  <DocSecurity>4</DocSecurity>
  <Lines>22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Pomôcka </vt:lpstr>
      <vt:lpstr>Pomôcka </vt:lpstr>
    </vt:vector>
  </TitlesOfParts>
  <Company>uvo</Company>
  <LinksUpToDate>false</LinksUpToDate>
  <CharactersWithSpaces>3151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Pomôcka</dc:title>
  <dc:subject/>
  <dc:creator>hudec</dc:creator>
  <cp:keywords/>
  <dc:description/>
  <cp:lastModifiedBy>Putorakova</cp:lastModifiedBy>
  <cp:revision>2</cp:revision>
  <cp:lastPrinted>2004-04-21T16:35:00Z</cp:lastPrinted>
  <dcterms:created xsi:type="dcterms:W3CDTF">2015-07-21T10:14:00Z</dcterms:created>
  <dcterms:modified xsi:type="dcterms:W3CDTF">2015-07-21T10:14:00Z</dcterms:modified>
</cp:coreProperties>
</file>