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D03A2">
      <w:pPr>
        <w:pStyle w:val="Zkladntext"/>
      </w:pPr>
      <w:bookmarkStart w:id="0" w:name="_GoBack"/>
      <w:bookmarkEnd w:id="0"/>
      <w:r>
        <w:t>Stručná informácia o Dohode o vládnom obstarávaní v rámci Svetovej obchodnej organizácie.</w:t>
      </w:r>
    </w:p>
    <w:p w:rsidR="00000000" w:rsidRDefault="004D03A2"/>
    <w:p w:rsidR="00000000" w:rsidRDefault="004D03A2">
      <w:pPr>
        <w:jc w:val="both"/>
      </w:pPr>
      <w:r>
        <w:t>Dohoda o vládnom obstarávaní (Government Procurement Agreement, ďalej len „GPA“) je jednou zo skupiny viacstranných dohôd, ktoré sú uvedené v prílohe č. 4 k Dohode o</w:t>
      </w:r>
      <w:r>
        <w:t> založení Svetovej obchodnej organizácie</w:t>
      </w:r>
      <w:r>
        <w:rPr>
          <w:rStyle w:val="Odkaznapoznmkupodiarou"/>
        </w:rPr>
        <w:footnoteReference w:id="1"/>
      </w:r>
      <w:r>
        <w:t xml:space="preserve"> (World Trade Organization, ďalej len „WTO“) so sídlom v Ženeve. Na rozdiel od základných zmluvných dokumentov v rámci WTO, ktoré majú mnohostranný (multilaterálny) charakter a platia automaticky pre všetky členské </w:t>
      </w:r>
      <w:r>
        <w:t>štáty WTO, GPA je viacstrannou (plurilaterálnou) dohodou, ktorá je záväzná len pre tie členské štáty WTO, ktoré k nej pristúpili</w:t>
      </w:r>
      <w:r>
        <w:rPr>
          <w:rStyle w:val="Odkaznapoznmkupodiarou"/>
          <w:color w:val="000000"/>
        </w:rPr>
        <w:footnoteReference w:id="2"/>
      </w:r>
      <w:r>
        <w:t>. Jedným zo signatárov GPA sú aj Európske spoločenstvá (ES) a Slovenská republika sprostredkovane pristúpila ku GPA dňom vstupu</w:t>
      </w:r>
      <w:r>
        <w:t xml:space="preserve"> do EÚ. GPA je integrálnou súčasťou súboru legislatívy ES - tzv. </w:t>
      </w:r>
      <w:r>
        <w:rPr>
          <w:i/>
          <w:iCs/>
        </w:rPr>
        <w:t>„acquis communautaire“</w:t>
      </w:r>
      <w:r>
        <w:t>, ktorý boli pristupujúce štáty povinné implementovať do príslušnej vnútroštátnej legislatívy. Ustanovenia GPA boli implementované do práva ES prostredníctvom novelizáci</w:t>
      </w:r>
      <w:r>
        <w:t>e relevantných smerníc v rokoch 1997 a 1998, ako aj do „nových“ európskych smerníc verejného obstarávania; tieto smernice sú transponované do aktuálnej slovenskej legislatívy verejného obstarávania, t. j. do zákona č. 25/2006 Z. z. o verejnom obstarávaní a</w:t>
      </w:r>
      <w:r>
        <w:t> o zmene a doplnení niektorých zákonov (ďalej len „zákon č. 25/2006 Z. z.“).</w:t>
      </w:r>
    </w:p>
    <w:p w:rsidR="00000000" w:rsidRDefault="004D03A2"/>
    <w:p w:rsidR="00000000" w:rsidRDefault="004D03A2">
      <w:pPr>
        <w:jc w:val="both"/>
      </w:pPr>
      <w:r>
        <w:t>Základný text GPA (27 strán)</w:t>
      </w:r>
      <w:r>
        <w:rPr>
          <w:rStyle w:val="Odkaznapoznmkupodiarou"/>
        </w:rPr>
        <w:footnoteReference w:id="3"/>
      </w:r>
      <w:r>
        <w:t xml:space="preserve"> obsahuje v porovnaní so smernicami EÚ (a teda aj so slovenskou legislatívou verejného obstarávania) isté rozdiely, vrátane základných pojmov a defin</w:t>
      </w:r>
      <w:r>
        <w:t xml:space="preserve">ície obstarávacích postupov. Informatívny preklad GPA je možné nájsť </w:t>
      </w:r>
      <w:r>
        <w:rPr>
          <w:u w:val="single"/>
        </w:rPr>
        <w:t>na internetovej stránke úradu.</w:t>
      </w:r>
      <w:r>
        <w:t xml:space="preserve"> Najdôležitejšie rozdiely, ktoré budú stručne vysvetlené nižšie, vyplývajú predovšetkým z rozdielov medzi hlavnými cieľmi smerníc verejného obstarávania a GP</w:t>
      </w:r>
      <w:r>
        <w:t>A, ako aj z rozsahu pôsobnosti týchto dokumentov. Dôležitým a rozhodujúcim momentom pre praktickú aplikáciu ustanovení GPA by mala byť tá skutočnosť, že na území Slovenskej republiky platí vnútroštátna legislatíva verejného obstarávania</w:t>
      </w:r>
      <w:r>
        <w:rPr>
          <w:rStyle w:val="Odkaznapoznmkupodiarou"/>
        </w:rPr>
        <w:footnoteReference w:id="4"/>
      </w:r>
      <w:r>
        <w:t xml:space="preserve">; právny výklad ES </w:t>
      </w:r>
      <w:r>
        <w:t>vo vzťahu na GPA vylučuje bezprostrednú platnosť ustanovení GPA v členských štátoch EÚ (to znamená, že GPA na území členských štátov EÚ priamo nezakladá práva a povinnosti pre jednotlivé subjekty a platí sprostredkovane, prostredníctvom smerníc a vnútroštá</w:t>
      </w:r>
      <w:r>
        <w:t>tnej legislatívy). Dosiahnutie zhody vnútroštátnej legislatívy pristupujúceho štátu s ustanoveniami GPA sa síce posudzuje pred jeho pristúpením, to však nevylučuje možné problémy vo vzťahoch medzi obstarávateľmi z členských štátov EÚ a uchádzačmi z nečlens</w:t>
      </w:r>
      <w:r>
        <w:t xml:space="preserve">kého štátu, ktorý je signatárom GPA, predovšetkým pri vzniku prípadných sporov. </w:t>
      </w:r>
    </w:p>
    <w:p w:rsidR="00000000" w:rsidRDefault="004D03A2">
      <w:pPr>
        <w:jc w:val="both"/>
      </w:pPr>
    </w:p>
    <w:p w:rsidR="00000000" w:rsidRDefault="004D03A2">
      <w:pPr>
        <w:pStyle w:val="Zkladntext2"/>
      </w:pPr>
      <w:r>
        <w:t>Hlavné rozdiely medzi legislatívou a praxou vládneho obstarávania na základe GPA a verejného obstarávania na základe smerníc verejného obstarávania EÚ:</w:t>
      </w: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>1) Hlavným cieľom sme</w:t>
      </w:r>
      <w:r>
        <w:rPr>
          <w:b/>
          <w:bCs/>
        </w:rPr>
        <w:t>rníc</w:t>
      </w:r>
      <w:r>
        <w:t xml:space="preserve"> je vytvorenie rámca vo verejnom obstarávaní na uplatňovanie zásady voľného pohybu tovarov, na realizáciu slobody podnikania (práva „usadiť sa“), na slobodné poskytovanie služieb a uskutočňovanie stavebných prác, čo okrem zrušenia obmedzení v rámci EÚ </w:t>
      </w:r>
      <w:r>
        <w:t xml:space="preserve">vyžadovalo aj určitú </w:t>
      </w:r>
      <w:r>
        <w:rPr>
          <w:b/>
          <w:bCs/>
          <w:i/>
          <w:iCs/>
        </w:rPr>
        <w:t>koordináciu</w:t>
      </w:r>
      <w:r>
        <w:t xml:space="preserve"> postupov verejného obstarávania. Cieľom GPA nie je zjednotenie postupov verejného obstarávania, ani ich koordinácia. Predovšetkým ide o reguláciu určitých prvkov obstarávacieho postupu, a to z hľadiska </w:t>
      </w:r>
      <w:r>
        <w:lastRenderedPageBreak/>
        <w:t>transparentnosti, ned</w:t>
      </w:r>
      <w:r>
        <w:t>iskrimnácie a prístupu na trh pre zahraničných dodávateľov</w:t>
      </w:r>
      <w:r>
        <w:rPr>
          <w:rStyle w:val="Odkaznapoznmkupodiarou"/>
        </w:rPr>
        <w:footnoteReference w:id="5"/>
      </w:r>
      <w:r>
        <w:t xml:space="preserve"> zo signatárskych štátov GPA, a to na zásade vzájomnej výhodnosti</w:t>
      </w:r>
      <w:r>
        <w:rPr>
          <w:rStyle w:val="Odkaznapoznmkupodiarou"/>
        </w:rPr>
        <w:footnoteReference w:id="6"/>
      </w:r>
      <w:r>
        <w:t xml:space="preserve">. </w:t>
      </w:r>
    </w:p>
    <w:p w:rsidR="00000000" w:rsidRDefault="004D03A2">
      <w:pPr>
        <w:jc w:val="both"/>
      </w:pPr>
      <w:r>
        <w:t>Týka sa to predovšetkým ustanovení o zverejňovaní informácií o verejnom ( v tomto prípade „vládnom“) obstarávaní a o jeho výsled</w:t>
      </w:r>
      <w:r>
        <w:t xml:space="preserve">koch, definície obstarávacích postupov, stanovenia predmetu obstarávania (správne používanie technických špecifikácií, ktoré voči zahraničným podnikateľom nesmú mať obmedzujúci – diskriminačný efekt), ako aj kritérií na vyhodnotenie ponúk. </w:t>
      </w: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 xml:space="preserve">2) GPA </w:t>
      </w:r>
      <w:r>
        <w:t>(preamb</w:t>
      </w:r>
      <w:r>
        <w:t>ula a 24 článkov)</w:t>
      </w:r>
      <w:r>
        <w:rPr>
          <w:b/>
          <w:bCs/>
        </w:rPr>
        <w:t xml:space="preserve"> neobsahuje definíciu obstarávateľa</w:t>
      </w:r>
      <w:r>
        <w:t>, a na rozdiel od iných dohôd v rámci WTO vo svojom hlavnom texte neobsahuje ani rozsah osobnej a vecnej pôsobnosti dohody; tento je definovaný v štyroch dodatkoch (Appendix) a v prílohách (Annex).</w:t>
      </w: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>Dodat</w:t>
      </w:r>
      <w:r>
        <w:rPr>
          <w:b/>
          <w:bCs/>
        </w:rPr>
        <w:t>ok I</w:t>
      </w:r>
      <w:r>
        <w:rPr>
          <w:rStyle w:val="Odkaznapoznmkupodiarou"/>
          <w:b/>
          <w:bCs/>
        </w:rPr>
        <w:footnoteReference w:id="7"/>
      </w:r>
      <w:r>
        <w:t> má 5 príloh:</w:t>
      </w:r>
    </w:p>
    <w:p w:rsidR="00000000" w:rsidRDefault="004D03A2">
      <w:pPr>
        <w:jc w:val="both"/>
      </w:pPr>
      <w:r>
        <w:rPr>
          <w:b/>
          <w:bCs/>
        </w:rPr>
        <w:t>V prílohe 1</w:t>
      </w:r>
      <w:r>
        <w:t xml:space="preserve"> sú uvedené orgány ústrednej správy („central government entities“)</w:t>
      </w:r>
      <w:r>
        <w:rPr>
          <w:rStyle w:val="Odkaznapoznmkupodiarou"/>
        </w:rPr>
        <w:footnoteReference w:id="8"/>
      </w:r>
      <w:r>
        <w:t>,</w:t>
      </w:r>
    </w:p>
    <w:p w:rsidR="00000000" w:rsidRDefault="004D03A2">
      <w:pPr>
        <w:jc w:val="both"/>
      </w:pPr>
      <w:r>
        <w:rPr>
          <w:b/>
          <w:bCs/>
        </w:rPr>
        <w:t>v prílohe 2</w:t>
      </w:r>
      <w:r>
        <w:t xml:space="preserve"> orgány miestnej a regionálnej správy („subcentral government entities“)</w:t>
      </w:r>
      <w:r>
        <w:rPr>
          <w:rStyle w:val="Odkaznapoznmkupodiarou"/>
        </w:rPr>
        <w:footnoteReference w:id="9"/>
      </w:r>
      <w:r>
        <w:t>, ako aj subjekty spravované právom verejným,</w:t>
      </w:r>
    </w:p>
    <w:p w:rsidR="00000000" w:rsidRDefault="004D03A2">
      <w:pPr>
        <w:jc w:val="both"/>
      </w:pPr>
      <w:r>
        <w:rPr>
          <w:b/>
          <w:bCs/>
        </w:rPr>
        <w:t xml:space="preserve">v prílohe 3 </w:t>
      </w:r>
      <w:r>
        <w:t xml:space="preserve">iné subjekty, </w:t>
      </w:r>
      <w:r>
        <w:t xml:space="preserve">ktoré obstarávajú podľa GPA (napr. tzv. </w:t>
      </w:r>
      <w:r>
        <w:rPr>
          <w:b/>
          <w:bCs/>
        </w:rPr>
        <w:t xml:space="preserve">verejné </w:t>
      </w:r>
      <w:r>
        <w:t>prirodzené monopoly)</w:t>
      </w:r>
      <w:r>
        <w:rPr>
          <w:rStyle w:val="Odkaznapoznmkupodiarou"/>
        </w:rPr>
        <w:footnoteReference w:id="10"/>
      </w:r>
      <w:r>
        <w:t xml:space="preserve"> </w:t>
      </w:r>
      <w:r>
        <w:rPr>
          <w:rStyle w:val="Odkaznapoznmkupodiarou"/>
        </w:rPr>
        <w:footnoteReference w:id="11"/>
      </w:r>
      <w:r>
        <w:t xml:space="preserve">. </w:t>
      </w:r>
    </w:p>
    <w:p w:rsidR="00000000" w:rsidRDefault="004D03A2">
      <w:pPr>
        <w:jc w:val="both"/>
      </w:pPr>
      <w:r>
        <w:t>Zoznamy sú vedené v členení za každý signatársky štát (v prípade ES s ďalším vnútorným členením podľa jednotlivých členských štátov) a mali by byť zostavené formou taxatívneho výpočt</w:t>
      </w:r>
      <w:r>
        <w:t>u subjektov</w:t>
      </w:r>
      <w:r>
        <w:rPr>
          <w:rStyle w:val="Odkaznapoznmkupodiarou"/>
        </w:rPr>
        <w:footnoteReference w:id="12"/>
      </w:r>
      <w:r>
        <w:t xml:space="preserve">. </w:t>
      </w:r>
    </w:p>
    <w:p w:rsidR="00000000" w:rsidRDefault="004D03A2">
      <w:pPr>
        <w:jc w:val="both"/>
      </w:pPr>
      <w:r>
        <w:t>Prílohy 1 až 5 stanovujú vecnú pôsobnosť GPA vo vzťahu na jednotlivých signatárov.</w:t>
      </w:r>
    </w:p>
    <w:p w:rsidR="00000000" w:rsidRDefault="004D03A2">
      <w:pPr>
        <w:jc w:val="both"/>
      </w:pPr>
      <w:r>
        <w:rPr>
          <w:b/>
          <w:bCs/>
        </w:rPr>
        <w:t xml:space="preserve">V prílohe 4 </w:t>
      </w:r>
      <w:r>
        <w:t>sú vymenované služby spadajúce pod režim GPA</w:t>
      </w:r>
      <w:r>
        <w:rPr>
          <w:rStyle w:val="Odkaznapoznmkupodiarou"/>
        </w:rPr>
        <w:footnoteReference w:id="13"/>
      </w:r>
      <w:r>
        <w:t>, a to buď pozitívnym spôsobom (pod GPA spadajú všetky menovite uvedené služby) alebo negatívnym spôs</w:t>
      </w:r>
      <w:r>
        <w:t>obom (pod režim GPA spadajú všetky služby, ktoré nie sú uvedené v zozname),</w:t>
      </w:r>
    </w:p>
    <w:p w:rsidR="00000000" w:rsidRDefault="004D03A2">
      <w:pPr>
        <w:jc w:val="both"/>
      </w:pPr>
      <w:r>
        <w:rPr>
          <w:b/>
          <w:bCs/>
        </w:rPr>
        <w:t xml:space="preserve">v prílohe 5 </w:t>
      </w:r>
      <w:r>
        <w:t xml:space="preserve">sú uvedené stavebné práce spadajúce pod režim GPA (práce sú, na rozdiel od smerníc EÚ, považované za druh služieb – „construction services“). </w:t>
      </w:r>
    </w:p>
    <w:p w:rsidR="00000000" w:rsidRDefault="004D03A2">
      <w:pPr>
        <w:jc w:val="both"/>
      </w:pPr>
    </w:p>
    <w:p w:rsidR="00000000" w:rsidRDefault="004D03A2">
      <w:pPr>
        <w:jc w:val="both"/>
      </w:pPr>
      <w:r>
        <w:t>Do pôsobnosti GPA spadaj</w:t>
      </w:r>
      <w:r>
        <w:t>ú všetky tovary s výnimkou prípadov, ak obstarávateľom je ministerstvo obrany; v takom prípade do pôsobnosti GPA spadajú len tovary uvedené v špeciálnych zoznamoch priložených ku GPA.</w:t>
      </w: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 xml:space="preserve">Dodatok II ku GPA </w:t>
      </w:r>
      <w:r>
        <w:t>obsahuje zoznam publikačných orgánov, v ktorých sú po</w:t>
      </w:r>
      <w:r>
        <w:t xml:space="preserve">vinne uverejňované oznámenia o vyhlásenom vládnom obstarávaní a o výsledku obstarávania (pre SR je to Úradný vestník EÚ a Vestník verejného obstarávania). V </w:t>
      </w:r>
      <w:r>
        <w:rPr>
          <w:b/>
          <w:bCs/>
        </w:rPr>
        <w:t>Dodatku III</w:t>
      </w:r>
      <w:r>
        <w:t xml:space="preserve"> sú uvedené publikačné orgány, v ktorých sú každoročne uverejňované zoznamy kvalifikovan</w:t>
      </w:r>
      <w:r>
        <w:t>ých dodávateľov na účely užšej súťaže v ponímaní GPA – čl. IX ods. 9 („výberové postupy“), a v </w:t>
      </w:r>
      <w:r>
        <w:rPr>
          <w:b/>
          <w:bCs/>
        </w:rPr>
        <w:t>Dodatku IV</w:t>
      </w:r>
      <w:r>
        <w:t xml:space="preserve"> je uvedený zoznam publikácií, ktoré strany – signatári GPA používajú na uverejňovanie zákonov, predpisov, rozhodnutí súdov, administratívnych opatrení</w:t>
      </w:r>
      <w:r>
        <w:t xml:space="preserve"> so všeobecnou platnosťou, týkajúcich sa obstarávania (za SR sa uvádza Zbierka zákonov).</w:t>
      </w: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>Súhrn:</w:t>
      </w:r>
      <w:r>
        <w:t xml:space="preserve"> GPA sa vzťahuje na dané obstarávanie v prípade, </w:t>
      </w:r>
      <w:r>
        <w:rPr>
          <w:b/>
          <w:bCs/>
        </w:rPr>
        <w:t>ak</w:t>
      </w:r>
      <w:r>
        <w:t>:</w:t>
      </w:r>
    </w:p>
    <w:p w:rsidR="00000000" w:rsidRDefault="004D03A2">
      <w:pPr>
        <w:numPr>
          <w:ilvl w:val="0"/>
          <w:numId w:val="1"/>
        </w:numPr>
        <w:jc w:val="both"/>
      </w:pPr>
      <w:r>
        <w:t>daný obstarávateľský subjekt sa nachádza v príslušnom zozname v prílohách 1 až 3 daného signatárskeho štátu</w:t>
      </w:r>
      <w:r>
        <w:t xml:space="preserve">, </w:t>
      </w:r>
    </w:p>
    <w:p w:rsidR="00000000" w:rsidRDefault="004D03A2">
      <w:pPr>
        <w:numPr>
          <w:ilvl w:val="0"/>
          <w:numId w:val="1"/>
        </w:numPr>
        <w:jc w:val="both"/>
      </w:pPr>
      <w:r>
        <w:t>hodnota zákazky nie je nižšia ako limity platné pre daného signatára GPA,</w:t>
      </w:r>
    </w:p>
    <w:p w:rsidR="00000000" w:rsidRDefault="004D03A2">
      <w:pPr>
        <w:numPr>
          <w:ilvl w:val="0"/>
          <w:numId w:val="1"/>
        </w:numPr>
        <w:jc w:val="both"/>
      </w:pPr>
      <w:r>
        <w:t>predmetom zákazky je tovar alebo služba (vrátane stavebných prác), ktorá je uvedená v prílohe 4 alebo 5,</w:t>
      </w:r>
    </w:p>
    <w:p w:rsidR="00000000" w:rsidRDefault="004D03A2">
      <w:pPr>
        <w:numPr>
          <w:ilvl w:val="0"/>
          <w:numId w:val="1"/>
        </w:numPr>
        <w:jc w:val="both"/>
      </w:pPr>
      <w:r>
        <w:t>zákazka nie je vyňatá z pôsobnosti GPA na základe čl. XXIII (záujmy obrany</w:t>
      </w:r>
      <w:r>
        <w:t xml:space="preserve"> a bezpečnosti, ale aj záujmy ochrany verejnej morálky, poriadku a bezpečnosti, života a zdravia ľudí, zvierat a rastlín alebo duševného vlastníctva, ako aj zákazky týkajúce sa tovarov alebo služieb poskytovaných hendikepovanými osobami, dobročinnými organ</w:t>
      </w:r>
      <w:r>
        <w:t>izáciami alebo ak sú tieto výsledkom práce väzňov),</w:t>
      </w:r>
    </w:p>
    <w:p w:rsidR="00000000" w:rsidRDefault="004D03A2">
      <w:pPr>
        <w:numPr>
          <w:ilvl w:val="0"/>
          <w:numId w:val="1"/>
        </w:numPr>
        <w:jc w:val="both"/>
      </w:pPr>
      <w:r>
        <w:t>prístup na trh vládneho obstarávania nie je obmedzený pre dodávateľov z určitého signatárskeho štátu na základe tzv. generálnej nóty („general note“), ktorá je taktiež súčasťou príloh za každého jednotliv</w:t>
      </w:r>
      <w:r>
        <w:t>ého signatára GPA.</w:t>
      </w:r>
    </w:p>
    <w:p w:rsidR="00000000" w:rsidRDefault="004D03A2">
      <w:pPr>
        <w:jc w:val="both"/>
      </w:pPr>
    </w:p>
    <w:p w:rsidR="00000000" w:rsidRDefault="004D03A2">
      <w:pPr>
        <w:jc w:val="both"/>
      </w:pPr>
      <w:r>
        <w:t>Z informácií uvedených vyššie vyplýva, že výška limitov, rozsah osobnej a vecnej pôsobnosti GPA, t. j. povolený rozsah prístupu na trh vládneho obstarávania, je vo vzťahu k jednotlivým signatárom odlišný. Dodávatelia z nečlenských štáto</w:t>
      </w:r>
      <w:r>
        <w:t>v EÚ - signatárov GPA, ktorí majú záujem o účasť na obstarávaní vyhlásenom v SR, hľadajú relevantný rozsah pôsobnosti GPA v prílohách 1 až 5 Európskych spoločenstiev, naproti tomu dodávateľ zo SR, ktorý má záujem o účasť na konkrétnom obstarávaní vyhláseno</w:t>
      </w:r>
      <w:r>
        <w:t>m obstarávateľom v nečlenskom štáte EÚ - signatárovi GPA, hľadá relevantné informácie v príslušných zoznamoch obsiahnutých v prílohách daného signatára (vrátane prípadných generálnych nót). Vzťahy vo verejnom obstarávaní medzi obstarávateľmi z EÚ a uchádza</w:t>
      </w:r>
      <w:r>
        <w:t>čmi, resp. záujemcami so sídlom v EÚ, sa naproti tomu riadia zásadami voľného pohybu tovarov a služieb, ktoré sa uplatňujú na spoločnom trhu ES</w:t>
      </w:r>
      <w:r>
        <w:rPr>
          <w:rStyle w:val="Odkaznapoznmkupodiarou"/>
        </w:rPr>
        <w:footnoteReference w:id="14"/>
      </w:r>
      <w:r>
        <w:t xml:space="preserve">. </w:t>
      </w:r>
    </w:p>
    <w:p w:rsidR="00000000" w:rsidRDefault="004D03A2">
      <w:pPr>
        <w:jc w:val="both"/>
      </w:pP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 xml:space="preserve">3) Čl. III GPA </w:t>
      </w:r>
      <w:r>
        <w:t>stanovuje povinnosť pre každého signatára, aby vylúčil vznik situácie, v ktorej by obstaráva</w:t>
      </w:r>
      <w:r>
        <w:t>telia zaobchádzali s dodávateľmi, ktorí založili svoje podnikateľské subjekty (pobočky) v danom signatárskom štáte takým spôsobom, ktorý je menej výhodný, ako vo vzťahu voči iným zahraničným dodávateľom, ktorí si taktiež v danej signatárskej krajine založi</w:t>
      </w:r>
      <w:r>
        <w:t xml:space="preserve">li svoje pobočky, a to vzhľadom na vlastnícke vzťahy, resp. na stupeň podriadenosti voči zahraničnému subjektu. Zakázaná je taktiež diskriminácia dodávateľov, </w:t>
      </w:r>
      <w:r>
        <w:lastRenderedPageBreak/>
        <w:t>ktorí si založili svoje pobočky v signatárskej krajine, vo vzťahu na pôvod ponúkaného tovaru aleb</w:t>
      </w:r>
      <w:r>
        <w:t>o služieb, ktoré majú byť poskytnuté, avšak pod podmienkou, že krajinou pôvodu je signatársky štát GPA, v súlade s ustanoveniami čl. IV GPA o stanovení pôvodu tovarov a služieb. Tento zákaz sa nevzťahuje na platby cla a iné poplatky súvisiace s dovozom, na</w:t>
      </w:r>
      <w:r>
        <w:t xml:space="preserve"> metódy výpočtu týchto poplatkov, na iné predpisy a formality týkajúce </w:t>
      </w:r>
      <w:r>
        <w:rPr>
          <w:color w:val="000000"/>
        </w:rPr>
        <w:t>sa dovozu, ani na opatrenia týkajúce sa aktivít na trhu služieb, ako sú zákony, predpisy, postupy alebo praktiky verejného obstarávania, ktoré nie sú predmetom úpravy v GPA (Čl. III ods</w:t>
      </w:r>
      <w:r>
        <w:rPr>
          <w:color w:val="000000"/>
        </w:rPr>
        <w:t>. 3). V praxi to zna</w:t>
      </w:r>
      <w:r>
        <w:t>mená, že dodávatelia zo signatárskych krajín GPA, ktorí chcú uspieť v inej signatárskej krajine, musia predložiť takú ponuku, ktorá bude výhodnejšou aj po pripočítaní všetkých colných a dovozných poplatkov v porovnaní s ponukou domáceho</w:t>
      </w:r>
      <w:r>
        <w:t xml:space="preserve"> podnikateľa</w:t>
      </w:r>
      <w:r>
        <w:rPr>
          <w:rStyle w:val="Odkaznapoznmkupodiarou"/>
        </w:rPr>
        <w:footnoteReference w:id="15"/>
      </w:r>
      <w:r>
        <w:t xml:space="preserve">. </w:t>
      </w:r>
    </w:p>
    <w:p w:rsidR="00000000" w:rsidRDefault="004D03A2">
      <w:pPr>
        <w:jc w:val="both"/>
      </w:pP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>4) Obstarávateľ nesmie</w:t>
      </w:r>
      <w:r>
        <w:t xml:space="preserve"> v súvislosti so zvažovaným obstarávaním spadajúcim pod režim GPA požadovať uzatvorenie kompenzačných dohôd (tzv. offsetov)</w:t>
      </w:r>
      <w:r>
        <w:rPr>
          <w:vertAlign w:val="superscript"/>
        </w:rPr>
        <w:t>14</w:t>
      </w:r>
      <w:r>
        <w:t>. Použitie offsetov je podľa GPA prípustné len v obmedzenom rozsahu a výlučne pre rozvojové</w:t>
      </w:r>
      <w:r>
        <w:t xml:space="preserve"> krajiny, aj to len v etape kvalifikácie dodávateľov, offsety však nemôžu byť použité ako kritérium na vyhodnotenie ponúk. </w:t>
      </w: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 xml:space="preserve">5) Pravidlá pre stanovenie technických špecifikácií </w:t>
      </w:r>
      <w:r>
        <w:t>sú v GPA aj v smerniciach EÚ definované podobným spôsobom. Isté pochybnosti môž</w:t>
      </w:r>
      <w:r>
        <w:t xml:space="preserve">u spôsobiť odkazy na normy vypracované Európskym výborom pre normalizáciu (CEN) a Európskym výborom pre elektrotechnickú normalizáciu (CENELEC), a to z hľadiska ich uznania za „medzinárodné normy“ z pohľadu GPA. Nové smernice verejného obstarávania, ktoré </w:t>
      </w:r>
      <w:r>
        <w:t>boli zverejnené dňa 30. 4. 2004</w:t>
      </w:r>
      <w:r>
        <w:rPr>
          <w:rStyle w:val="Odkaznapoznmkupodiarou"/>
        </w:rPr>
        <w:footnoteReference w:id="16"/>
      </w:r>
      <w:r>
        <w:t xml:space="preserve">, prinášajú určité zmiernenie požiadaviek na doteraz takmer absolútnu prednosť európskych noriem pred ostatnými medzinárodnými normami. V čl. VI ods. 4 GPA je </w:t>
      </w:r>
      <w:r>
        <w:rPr>
          <w:b/>
          <w:bCs/>
        </w:rPr>
        <w:t>rigorózne formulovaný zákaz účasti</w:t>
      </w:r>
      <w:r>
        <w:t xml:space="preserve"> tých expertov na príprave tech</w:t>
      </w:r>
      <w:r>
        <w:t xml:space="preserve">nických špecifikácií, ktorí by mohli byť zainteresovaní na danom obstarávaní, pretože by to mohlo mať negatívny dopad na dodržanie zásad čestnej hospodárskej súťaže. </w:t>
      </w: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>6)</w:t>
      </w:r>
      <w:r>
        <w:t xml:space="preserve"> </w:t>
      </w:r>
      <w:r>
        <w:rPr>
          <w:b/>
          <w:bCs/>
        </w:rPr>
        <w:t>Oznámenia vo verejnom obstarávaní</w:t>
      </w:r>
      <w:r>
        <w:t>, používané podľa smerníc a slovenskej legislatívy p</w:t>
      </w:r>
      <w:r>
        <w:t>re nadlimitné obstarávanie, sú napriek istým rozdielom (predovšetkým v názvoch) obsahovo a významovo prakticky podobné. Obstarávateľ uverejnením oznámení v Úradnom vestníku EÚ – Dodatok „S“</w:t>
      </w:r>
      <w:r>
        <w:rPr>
          <w:rStyle w:val="Odkaznapoznmkupodiarou"/>
        </w:rPr>
        <w:footnoteReference w:id="17"/>
      </w:r>
      <w:r>
        <w:t xml:space="preserve"> fakticky splní svoju povinnosť aj vo vzťahu na GPA. Je vhodné pri</w:t>
      </w:r>
      <w:r>
        <w:t xml:space="preserve">pomenúť, že oznámenia o kvalifikačnom systéme podľa GPA („notice regarding a qualification system“) sú podľa tejto dohody použiteľné pre uverejňovanie stálych zoznamov kvalifikovaných dodávateľov v súvislosti s postupom užšej súťaže („výberovým postupom“) </w:t>
      </w:r>
      <w:r>
        <w:t xml:space="preserve">podľa GPA, a to bez obmedzenia na druh obstarávateľa (verejný obstarávateľ, či obstarávateľ). Podľa platných predpisov EÚ je použitie kvalifikačného systému vyhradené pre obstarávateľov vo vybraných odvetviach. </w:t>
      </w:r>
    </w:p>
    <w:p w:rsidR="00000000" w:rsidRDefault="004D03A2">
      <w:pPr>
        <w:jc w:val="both"/>
      </w:pPr>
      <w:r>
        <w:t>Rozdiely v lehotách sú spôsobené predovšetký</w:t>
      </w:r>
      <w:r>
        <w:t>m skutočnosťou, že ich plynutie sa v rámci GPA počíta odo dňa uverejnenia oznámenia v príslušnom periodiku, naproti tomu podľa smerníc a vnútroštátnej legislatívy odo dňa odoslania oznámenia na uverejnenie v Úradnom vestníku EÚ, ktorý má dvanásťdňovú lehot</w:t>
      </w:r>
      <w:r>
        <w:t xml:space="preserve">u na uverejnenie oznámenia. Uverejnenie väčšieho </w:t>
      </w:r>
      <w:r>
        <w:lastRenderedPageBreak/>
        <w:t xml:space="preserve">rozsahu informácií o predmetnej zákazke výlučne vo vnútroštátnych periodikách je považované za vážne zvýhodnenie domácich dodávateľov voči zahraničným. </w:t>
      </w:r>
    </w:p>
    <w:p w:rsidR="00000000" w:rsidRDefault="004D03A2">
      <w:pPr>
        <w:jc w:val="both"/>
      </w:pP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 xml:space="preserve">7) Dokumentácia. </w:t>
      </w:r>
      <w:r>
        <w:t>Ak obstarávateľ povolil predloženie</w:t>
      </w:r>
      <w:r>
        <w:t xml:space="preserve"> ponuky, resp. iných dokumentov v predmetnom obstarávaní vo viacerých jazykoch, potom najmenej jeden z jazykov musí byť úradným jazykom WTO (anglický, francúzsky a španielsky jazyk). </w:t>
      </w:r>
    </w:p>
    <w:p w:rsidR="00000000" w:rsidRDefault="004D03A2">
      <w:pPr>
        <w:jc w:val="both"/>
      </w:pP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>8) Kvalifikácia dodávateľov (Čl. VIII).</w:t>
      </w:r>
      <w:r>
        <w:t xml:space="preserve"> Požiadavky sú menej rigorózne </w:t>
      </w:r>
      <w:r>
        <w:t xml:space="preserve">v porovnaní s ustanoveniami smerníc a vnútroštátnej legislatívy. Nie sú taxatívne vymenované spôsoby preukazovania spôsobilosti dodávateľa, ani dokumenty predkladané na tieto účely. Dôraz sa kladie na zhodnotenie činnosti daného dodávateľa na domácom trhu </w:t>
      </w:r>
      <w:r>
        <w:t>a v medzinárodnom meradle. Hlavnými dôvodmi pre vylúčenie dodávateľa je jeho úpadok alebo predloženie nepravdivých, či sfalšovaných údajov. Postup obstarávateľa pri vylúčení daného dodávateľa musí byť v súlade s vnútroštátnou legislatívou (zásada národného</w:t>
      </w:r>
      <w:r>
        <w:t xml:space="preserve"> zaobchádzania) a nesmie mať diskriminačný charakter. Obstarávateľ je povinný oboznámiť všetky subjekty uchádzajúce sa o zápis do svojich kvalifikačných zoznamov o všetkých svojich rozhodnutiach týkajúcich sa kvalifikácie. Subjekty, ktoré sú už v zozname z</w:t>
      </w:r>
      <w:r>
        <w:t>apísané, musia byť informované o ukončení platnosti predmetného kvalifikačného zoznamu, ako aj o svojom prípadnom vyškrtnutí z predmetného zoznamu</w:t>
      </w:r>
      <w:r>
        <w:rPr>
          <w:rStyle w:val="Odkaznapoznmkupodiarou"/>
        </w:rPr>
        <w:footnoteReference w:id="18"/>
      </w:r>
      <w:r>
        <w:t xml:space="preserve">. </w:t>
      </w:r>
    </w:p>
    <w:p w:rsidR="00000000" w:rsidRDefault="004D03A2">
      <w:pPr>
        <w:jc w:val="both"/>
      </w:pP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>9) Vyhodnotenie ponúk a</w:t>
      </w:r>
      <w:r>
        <w:t xml:space="preserve"> </w:t>
      </w:r>
      <w:r>
        <w:rPr>
          <w:b/>
          <w:bCs/>
        </w:rPr>
        <w:t xml:space="preserve">kritériá na ich vyhodnotenie. </w:t>
      </w:r>
      <w:r>
        <w:t xml:space="preserve">Úprava týkajúca sa ponúk s neobvykle nízkou cenou </w:t>
      </w:r>
      <w:r>
        <w:t xml:space="preserve">je veľmi podobná, smernice EÚ a vnútroštátna legislatíva však podrobnejšie upresňujú, čoho sa vysvetlenie neobvykle nízkej ceny má týkať (§ 42 ods. 3 a nasl. zákona č. 25/2006 Z. z.). GPA je veľmi stručná pri definícii prípustných kritérií na vyhodnotenie </w:t>
      </w:r>
      <w:r>
        <w:t>ponúk (podľa čl. XIII ods. 4 písm. c) stanovuje len podmienku, že „zákazka musí byť zadaná v súlade s kritériami a podstatnými požiadavkami, ktoré sú vyšpecifikované v súťažných podkladoch“), prísnejšia je však vo vzťahu na podmienky pre zrušenie vyhlásené</w:t>
      </w:r>
      <w:r>
        <w:t>ho obstarávania – zrušenie</w:t>
      </w:r>
      <w:r>
        <w:rPr>
          <w:rStyle w:val="Odkaznapoznmkupodiarou"/>
        </w:rPr>
        <w:footnoteReference w:id="19"/>
      </w:r>
      <w:r>
        <w:t xml:space="preserve"> je v zásade prípustné len s ohľadom na verejný záujem (Čl. XIII ods. 4 písm. b) – </w:t>
      </w:r>
      <w:r>
        <w:rPr>
          <w:i/>
          <w:iCs/>
        </w:rPr>
        <w:t>porov.</w:t>
      </w:r>
      <w:r>
        <w:t xml:space="preserve"> s § 46 zákona č. 25/2006 Z. z.). </w:t>
      </w:r>
    </w:p>
    <w:p w:rsidR="00000000" w:rsidRDefault="004D03A2">
      <w:pPr>
        <w:jc w:val="both"/>
      </w:pP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>10) Pozorovatelia.</w:t>
      </w:r>
      <w:r>
        <w:t xml:space="preserve"> Štatút pozorovateľa pre zástupcov členských štátov WTO, ktoré nie sú signatármi GPA,</w:t>
      </w:r>
      <w:r>
        <w:t xml:space="preserve"> neznamená len možnosť zúčastňovať sa na zasadnutiach Výboru GPA, ale aj na konkrétnych zákazkách, a to po splnení podmienok, ktoré sú uvedené v čl. XVII GPA. </w:t>
      </w:r>
    </w:p>
    <w:p w:rsidR="00000000" w:rsidRDefault="004D03A2">
      <w:pPr>
        <w:jc w:val="both"/>
      </w:pP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 xml:space="preserve">11) Obstarávacie postupy </w:t>
      </w:r>
      <w:r>
        <w:t>sú v GPA upravené len ako súbor minimálnych požiadaviek (Čl. VIII, IX</w:t>
      </w:r>
      <w:r>
        <w:t>, XIV, XV), pričom dôraz sa kladie na dodržanie zásad nediskriminácie a rovnakého zaobchádzania. GPA pozná tri skupiny postupov: otvorené postupy („open tendering procedures“)</w:t>
      </w:r>
      <w:r>
        <w:rPr>
          <w:rStyle w:val="Odkaznapoznmkupodiarou"/>
        </w:rPr>
        <w:footnoteReference w:id="20"/>
      </w:r>
      <w:r>
        <w:t>, výberové postupy („selective tendering procedures“)</w:t>
      </w:r>
      <w:r>
        <w:rPr>
          <w:rStyle w:val="Odkaznapoznmkupodiarou"/>
        </w:rPr>
        <w:footnoteReference w:id="21"/>
      </w:r>
      <w:r>
        <w:t xml:space="preserve"> a obmedzené postupy („lim</w:t>
      </w:r>
      <w:r>
        <w:t>ited tendering procedures“)</w:t>
      </w:r>
      <w:r>
        <w:rPr>
          <w:rStyle w:val="Odkaznapoznmkupodiarou"/>
        </w:rPr>
        <w:footnoteReference w:id="22"/>
      </w:r>
      <w:r>
        <w:t xml:space="preserve">. Bližší popis uvedených postupov, resp. rozdielov v porovnaní so smernicami ES, by bolo nad rámec tohto materiálu. Je však vhodné upozorniť aspoň na jeden zásadný rozdiel: </w:t>
      </w:r>
      <w:r>
        <w:rPr>
          <w:b/>
          <w:bCs/>
        </w:rPr>
        <w:t>rokovania</w:t>
      </w:r>
      <w:r>
        <w:t xml:space="preserve"> – „negotiations“ (Čl. XIV) nie sú, na rozdiel</w:t>
      </w:r>
      <w:r>
        <w:t xml:space="preserve"> od smerníc, samostatným obstarávacím postupom. Rokovania môžu byť za stanovených podmienok súčasťou otvorených a užších postupov, na rozdiel od smerníc EÚ a zákona č. 25/2006 Z. z., ktoré nepripúšťajú rokovanie vo verejnej a v užšej súťaži. </w:t>
      </w:r>
    </w:p>
    <w:p w:rsidR="00000000" w:rsidRDefault="004D03A2">
      <w:pPr>
        <w:jc w:val="both"/>
      </w:pPr>
    </w:p>
    <w:p w:rsidR="00000000" w:rsidRDefault="004D03A2">
      <w:pPr>
        <w:jc w:val="both"/>
      </w:pPr>
    </w:p>
    <w:p w:rsidR="00000000" w:rsidRDefault="004D03A2">
      <w:pPr>
        <w:jc w:val="both"/>
      </w:pPr>
      <w:r>
        <w:rPr>
          <w:b/>
          <w:bCs/>
        </w:rPr>
        <w:t>12) Opravné</w:t>
      </w:r>
      <w:r>
        <w:rPr>
          <w:b/>
          <w:bCs/>
        </w:rPr>
        <w:t xml:space="preserve"> prostriedky</w:t>
      </w:r>
      <w:r>
        <w:t xml:space="preserve"> (Čl. XX až XXII) sa vzťahujú výlučne na vládne zákazky spadajúce pod režim GPA a môžu si ich uplatniť len subjekty zo signatárskych krajín</w:t>
      </w:r>
      <w:r>
        <w:rPr>
          <w:rStyle w:val="Odkaznapoznmkupodiarou"/>
        </w:rPr>
        <w:footnoteReference w:id="23"/>
      </w:r>
      <w:r>
        <w:t xml:space="preserve">. Je možné ich rozdeliť na dve skupiny: </w:t>
      </w:r>
      <w:r>
        <w:rPr>
          <w:b/>
          <w:bCs/>
        </w:rPr>
        <w:t>konzultácie</w:t>
      </w:r>
      <w:r>
        <w:t xml:space="preserve"> („consultations“), ktoré poškodený dodávateľ vykoná </w:t>
      </w:r>
      <w:r>
        <w:t xml:space="preserve">bezprostredne s obstarávateľom podľa Čl. XX ods. 1 alebo </w:t>
      </w:r>
      <w:r>
        <w:rPr>
          <w:b/>
          <w:bCs/>
        </w:rPr>
        <w:t>odporovacie konanie</w:t>
      </w:r>
      <w:r>
        <w:t xml:space="preserve"> („challenge procedure“, „Widerspruchsverfahren“) podľa Čl. XX ods. 2, v ktorom sa (domnelo) poškodený dodávateľ so svojím protestom, sťažnosťou, či žalobou obráti na príslušný org</w:t>
      </w:r>
      <w:r>
        <w:t>án, ktorým sa rozumie súd alebo iný nezávislý a nestranný orgán, ktorý nie je zainteresovaný na výsledku obstarávania. Pokiaľ tento orgán nie je súdom, jeho rozhodnutia musia byť súdne preskúmateľné. Poškodený dodávateľ môže priamo zvoliť postup podľa ods.</w:t>
      </w:r>
      <w:r>
        <w:t xml:space="preserve"> 2 </w:t>
      </w:r>
      <w:r>
        <w:rPr>
          <w:b/>
          <w:bCs/>
        </w:rPr>
        <w:t>bez</w:t>
      </w:r>
      <w:r>
        <w:t xml:space="preserve"> predchádzajúcej konzultácie podľa ods. 1. Lehota, v ktorej poškodený dodávateľ môže uplatniť svoj protest, sťažnosť či žalobu, nesmie byť kratšia ako </w:t>
      </w:r>
      <w:r>
        <w:rPr>
          <w:b/>
          <w:bCs/>
        </w:rPr>
        <w:t>10 dní</w:t>
      </w:r>
      <w:r>
        <w:t xml:space="preserve"> odo dňa, kedy sa dozvedel, resp. mohol dozvedieť o podstate svojho podania. </w:t>
      </w:r>
    </w:p>
    <w:p w:rsidR="00000000" w:rsidRDefault="004D03A2">
      <w:pPr>
        <w:jc w:val="both"/>
      </w:pPr>
      <w:r>
        <w:t>Na rozdiel od Č</w:t>
      </w:r>
      <w:r>
        <w:t>l. XX, ktorý rieši odvolacie postupy prináležiace dodávateľom, Čl. XXII upravuje postupy „diplomatického charakteru“, ktoré sa týkajú urovnávania sporov medzi členskými štátmi WTO</w:t>
      </w:r>
      <w:r>
        <w:rPr>
          <w:rStyle w:val="Odkaznapoznmkupodiarou"/>
        </w:rPr>
        <w:footnoteReference w:id="24"/>
      </w:r>
      <w:r>
        <w:t xml:space="preserve"> na Orgáne pre urovnávanie sporov („Dispute Settlement Body“ – „DSB“). Tento</w:t>
      </w:r>
      <w:r>
        <w:t xml:space="preserve"> orgán bol ustanovený súčasne so založením WTO. Dohovor o pravidlách a postupoch pri urovnávaní sporov („DSU“) sa vzťahuje na všetky dohody v rámci WTO, vrátane GPA, ktorá je však dohodou plurilaterálnou a fakultatívnou; ustanovenia DSU sa vzťahujú na spor</w:t>
      </w:r>
      <w:r>
        <w:t>y v rámci GPA len vtedy, ak Čl. XXII GPA nestanoví inak. Podľa pravidiel DSU sú na medzištátnej úrovni riešené jednak spory, ktoré vznikli v súvislosti s porušením ustanovení GPA, ako aj vecné spory, pri ktorých nedošlo k porušeniu GPA. Na podnet poškodene</w:t>
      </w:r>
      <w:r>
        <w:t>j strany DSB zostaví porotu, resp. odvolací orgán, ktoré sú oprávnené vydávať doporučenia, resp. rozhodnutia. Vo veciach vládneho obstarávania môžu byť členmi tohto orgánu len odborníci z oblasti verejného obstarávania a súčasne to môžu byť výlučne zástupc</w:t>
      </w:r>
      <w:r>
        <w:t xml:space="preserve">ovia signatárskych štátov GPA. </w:t>
      </w:r>
    </w:p>
    <w:p w:rsidR="00000000" w:rsidRDefault="004D03A2">
      <w:pPr>
        <w:jc w:val="both"/>
      </w:pPr>
    </w:p>
    <w:p w:rsidR="00000000" w:rsidRDefault="004D03A2">
      <w:pPr>
        <w:jc w:val="both"/>
      </w:pPr>
    </w:p>
    <w:p w:rsidR="00000000" w:rsidRDefault="004D03A2">
      <w:pPr>
        <w:jc w:val="both"/>
        <w:rPr>
          <w:i/>
          <w:iCs/>
        </w:rPr>
      </w:pPr>
      <w:r>
        <w:rPr>
          <w:i/>
          <w:iCs/>
        </w:rPr>
        <w:t>Spracované podľa dokumentov WTO a z internetových zdrojov, máj 2004/máj 2006.</w:t>
      </w:r>
    </w:p>
    <w:p w:rsidR="00000000" w:rsidRDefault="004D03A2">
      <w:pPr>
        <w:jc w:val="both"/>
        <w:rPr>
          <w:i/>
          <w:iCs/>
        </w:rPr>
      </w:pPr>
    </w:p>
    <w:p w:rsidR="00000000" w:rsidRDefault="004D03A2">
      <w:pPr>
        <w:jc w:val="both"/>
        <w:rPr>
          <w:i/>
          <w:iCs/>
        </w:rPr>
      </w:pPr>
    </w:p>
    <w:p w:rsidR="00000000" w:rsidRDefault="004D03A2">
      <w:pPr>
        <w:jc w:val="both"/>
      </w:pPr>
      <w:r>
        <w:t>Oddelenie európskych záležitostí a medzinárodnej spolupráce</w:t>
      </w:r>
    </w:p>
    <w:p w:rsidR="00000000" w:rsidRDefault="004D03A2">
      <w:pPr>
        <w:jc w:val="both"/>
      </w:pPr>
      <w:r>
        <w:t>Úrad pre verejné obstarávanie</w:t>
      </w:r>
    </w:p>
    <w:sectPr w:rsidR="00000000">
      <w:headerReference w:type="even" r:id="rId7"/>
      <w:headerReference w:type="defaul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D03A2">
      <w:r>
        <w:separator/>
      </w:r>
    </w:p>
  </w:endnote>
  <w:endnote w:type="continuationSeparator" w:id="0">
    <w:p w:rsidR="00000000" w:rsidRDefault="004D0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D03A2">
      <w:r>
        <w:separator/>
      </w:r>
    </w:p>
  </w:footnote>
  <w:footnote w:type="continuationSeparator" w:id="0">
    <w:p w:rsidR="00000000" w:rsidRDefault="004D03A2">
      <w:r>
        <w:continuationSeparator/>
      </w:r>
    </w:p>
  </w:footnote>
  <w:footnote w:id="1">
    <w:p w:rsidR="00000000" w:rsidRDefault="004D03A2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 Dohoda WTO bola zverejnená v čiastke 65 Zbierky z</w:t>
      </w:r>
      <w:r>
        <w:t>ákonov pod č. 152/2000 Z. z., neobsahuje však text GPA, ako bude zdôvodnené ďalej.</w:t>
      </w:r>
    </w:p>
  </w:footnote>
  <w:footnote w:id="2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Európske spoločenstvá (vrátane 25 členských štátov), Kanada, Hong Kong, Island, Izrael, Japonsko, J. Kórea, Lichtenštajnsko, Holandsko - vo vzťahu na zámorské teritórium </w:t>
      </w:r>
      <w:r>
        <w:t>Aruba, Nórsko, Singapúr, Švajčiarsko, USA.</w:t>
      </w:r>
    </w:p>
  </w:footnote>
  <w:footnote w:id="3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Pozri na </w:t>
      </w:r>
      <w:hyperlink r:id="rId1" w:history="1">
        <w:r>
          <w:rPr>
            <w:rStyle w:val="Hypertextovprepojenie"/>
          </w:rPr>
          <w:t>www.wto.org/english/docs_e/legal_e/gpr-94_01_e.htm</w:t>
        </w:r>
      </w:hyperlink>
      <w:r>
        <w:t xml:space="preserve"> </w:t>
      </w:r>
    </w:p>
  </w:footnote>
  <w:footnote w:id="4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V praxi však môžu vzniknúť isté otázky vo vzťahu na čl. 7 Ústavy SR.</w:t>
      </w:r>
    </w:p>
  </w:footnote>
  <w:footnote w:id="5">
    <w:p w:rsidR="00000000" w:rsidRDefault="004D03A2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>
        <w:t xml:space="preserve"> GPA nerozlišuje pojmy „uchádzač“ a „záujemca“, týchto označuje jednotným pojmom „dodávateľ“ – „supplier“.</w:t>
      </w:r>
    </w:p>
  </w:footnote>
  <w:footnote w:id="6">
    <w:p w:rsidR="00000000" w:rsidRDefault="004D03A2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 Obchodno-politické aspekty sú jedným z nosných prvkov dohody GPA, ktorá sa zakladá na princípe národného zaobchádzania a vzájomnej výhodnosti pre </w:t>
      </w:r>
      <w:r>
        <w:t>signatárov GPA (nie však už na princípoch doložky najvyšších výhod); GPA naviac umožňuje určité, presne definované a spravidla časovo limitované zvýhodnenia pre hospodársky menej rozvinuté krajiny – signatárov GPA. Gestorom GPA je Ministerstvo hospodárstva</w:t>
      </w:r>
      <w:r>
        <w:t xml:space="preserve"> SR.</w:t>
      </w:r>
    </w:p>
  </w:footnote>
  <w:footnote w:id="7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Pozn.: Uvedené internetové adresy sú priamymi odkazmi na osobnú a vecnú pôsobnosť GPA za Európske spoločenstvá, vrátane nových členov. Prílohy 1 až 5 za ostatných signatárov GPA je možné nalistovať na adrese WTO: </w:t>
      </w:r>
      <w:hyperlink r:id="rId2" w:history="1">
        <w:r>
          <w:rPr>
            <w:rStyle w:val="Hypertextovprepojenie"/>
          </w:rPr>
          <w:t>www.wto.org</w:t>
        </w:r>
      </w:hyperlink>
      <w:r>
        <w:t xml:space="preserve"> v sekcii Government Procurement.</w:t>
      </w:r>
    </w:p>
  </w:footnote>
  <w:footnote w:id="8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</w:t>
      </w:r>
      <w:hyperlink r:id="rId3" w:history="1">
        <w:r>
          <w:rPr>
            <w:rStyle w:val="Hypertextovprepojenie"/>
          </w:rPr>
          <w:t>www.wto.org/english/tra</w:t>
        </w:r>
        <w:r>
          <w:rPr>
            <w:rStyle w:val="Hypertextovprepojenie"/>
          </w:rPr>
          <w:t>t</w:t>
        </w:r>
        <w:r>
          <w:rPr>
            <w:rStyle w:val="Hypertextovprepojenie"/>
          </w:rPr>
          <w:t>op_e/gproc_e/apend_e.htm#ec</w:t>
        </w:r>
      </w:hyperlink>
      <w:r>
        <w:t xml:space="preserve"> </w:t>
      </w:r>
    </w:p>
  </w:footnote>
  <w:footnote w:id="9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</w:t>
      </w:r>
      <w:hyperlink r:id="rId4" w:history="1">
        <w:r>
          <w:rPr>
            <w:rStyle w:val="Hypertextovprepojenie"/>
          </w:rPr>
          <w:t>www</w:t>
        </w:r>
        <w:r>
          <w:rPr>
            <w:rStyle w:val="Hypertextovprepojenie"/>
          </w:rPr>
          <w:t>.wto.org/english/tratop_e</w:t>
        </w:r>
        <w:r>
          <w:rPr>
            <w:rStyle w:val="Hypertextovprepojenie"/>
          </w:rPr>
          <w:t>/</w:t>
        </w:r>
        <w:r>
          <w:rPr>
            <w:rStyle w:val="Hypertextovprepojenie"/>
          </w:rPr>
          <w:t>gp</w:t>
        </w:r>
        <w:r>
          <w:rPr>
            <w:rStyle w:val="Hypertextovprepojenie"/>
          </w:rPr>
          <w:t>r</w:t>
        </w:r>
        <w:r>
          <w:rPr>
            <w:rStyle w:val="Hypertextovprepojenie"/>
          </w:rPr>
          <w:t>oc_e/ap</w:t>
        </w:r>
        <w:r>
          <w:rPr>
            <w:rStyle w:val="Hypertextovprepojenie"/>
          </w:rPr>
          <w:t>i</w:t>
        </w:r>
        <w:r>
          <w:rPr>
            <w:rStyle w:val="Hypertextovprepojenie"/>
          </w:rPr>
          <w:t>ieng.doc</w:t>
        </w:r>
      </w:hyperlink>
      <w:r>
        <w:t xml:space="preserve"> </w:t>
      </w:r>
    </w:p>
  </w:footnote>
  <w:footnote w:id="10">
    <w:p w:rsidR="00000000" w:rsidRDefault="004D03A2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 „Public utilities“. Tento pojem nie je v GPA jednoznačne definovaný. Dôležitý rozdiel medzi GPA a smernicami (a teda aj vnútroštátnou legislatívou) spočíva v tom, že tzv. „prirodzený monopol“ (obstarávatelia vo vybraných odvetviach podľa § 8 zákona č. 25</w:t>
      </w:r>
      <w:r>
        <w:t>/2006 Z. z.) zostáva obstarávateľom podľa zákona aj po zmene vlastníckych práv a po ukončení podriadenosti štátu (napr. po privatizácii), súkromný „prirodzený monopol“ však prestáva byť obstarávateľom podľa GPA. Formálne je táto jeho povinnosť ukončená vyš</w:t>
      </w:r>
      <w:r>
        <w:t>krtnutím z prílohy 3, je to však možné až po negociáciách s ostatnými signatármi GPA a tento postup je spravidla spojený so žiadosťami ostatných signatárov o kompenzácie (otvorenie prístupu do iného segmentu trhu vládneho obstarávania). Negociácie tohto dr</w:t>
      </w:r>
      <w:r>
        <w:t>uhu prebiehajú najskôr na neformálnej dvojstrannej a viacstrannej báze na pôde Výboru pre vládne obstarávanie (WTO, Ženeva) a následne sú formalizované a schválené na riadnom zasadnutí uvedeného výboru.</w:t>
      </w:r>
    </w:p>
  </w:footnote>
  <w:footnote w:id="11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</w:t>
      </w:r>
      <w:hyperlink r:id="rId5" w:history="1">
        <w:r>
          <w:rPr>
            <w:rStyle w:val="Hypertextovprepojenie"/>
          </w:rPr>
          <w:t>www.wto.org/english/tratop_e/gproc_e/</w:t>
        </w:r>
        <w:r>
          <w:rPr>
            <w:rStyle w:val="Hypertextovprepojenie"/>
          </w:rPr>
          <w:t>a</w:t>
        </w:r>
        <w:r>
          <w:rPr>
            <w:rStyle w:val="Hypertextovprepojenie"/>
          </w:rPr>
          <w:t>pi</w:t>
        </w:r>
        <w:r>
          <w:rPr>
            <w:rStyle w:val="Hypertextovprepojenie"/>
          </w:rPr>
          <w:t>i</w:t>
        </w:r>
        <w:r>
          <w:rPr>
            <w:rStyle w:val="Hypertextovprepojenie"/>
          </w:rPr>
          <w:t>ieng.doc</w:t>
        </w:r>
      </w:hyperlink>
      <w:r>
        <w:t xml:space="preserve"> </w:t>
      </w:r>
    </w:p>
  </w:footnote>
  <w:footnote w:id="12">
    <w:p w:rsidR="00000000" w:rsidRDefault="004D03A2">
      <w:pPr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sz w:val="20"/>
        </w:rPr>
        <w:t xml:space="preserve"> Prax je však iná, zoznamy sú sčasti zostavované pomocou odkazov na vnútroštátnu legislatívu (resp. legislatívu ES), čo znižuje ich transparentnosť a je zdrojom problémov a kritik</w:t>
      </w:r>
      <w:r>
        <w:rPr>
          <w:sz w:val="20"/>
        </w:rPr>
        <w:t xml:space="preserve">y. </w:t>
      </w:r>
    </w:p>
  </w:footnote>
  <w:footnote w:id="13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</w:t>
      </w:r>
      <w:hyperlink r:id="rId6" w:history="1">
        <w:r>
          <w:rPr>
            <w:rStyle w:val="Hypertextovprepojenie"/>
          </w:rPr>
          <w:t>www.wto.org/english/tratop_e/gproc_e/api</w:t>
        </w:r>
        <w:r>
          <w:rPr>
            <w:rStyle w:val="Hypertextovprepojenie"/>
          </w:rPr>
          <w:t>v</w:t>
        </w:r>
        <w:r>
          <w:rPr>
            <w:rStyle w:val="Hypertextovprepojenie"/>
          </w:rPr>
          <w:t>eng.doc</w:t>
        </w:r>
      </w:hyperlink>
      <w:r>
        <w:t xml:space="preserve"> </w:t>
      </w:r>
    </w:p>
  </w:footnote>
  <w:footnote w:id="14">
    <w:p w:rsidR="00000000" w:rsidRDefault="004D03A2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 Problematika obchodnej politiky spadá medzi kompetencie Ministerstva hospodárstva SR. </w:t>
      </w:r>
    </w:p>
  </w:footnote>
  <w:footnote w:id="15">
    <w:p w:rsidR="00000000" w:rsidRDefault="004D03A2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 Problematika Všeobecnej dohody o </w:t>
      </w:r>
      <w:r>
        <w:t>obchode so službami („GATS“ - táto dohoda je súčasťou Dohody WTO) a jej vzťahu ku GPA spadá do kompetencie Ministerstva hospodárstva SR, problematika ciel a dovozných poplatkov je v gescii Ministerstva financií SR, resp. colnej správy.</w:t>
      </w:r>
    </w:p>
  </w:footnote>
  <w:footnote w:id="16">
    <w:p w:rsidR="00000000" w:rsidRDefault="004D03A2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 Smernice Európske</w:t>
      </w:r>
      <w:r>
        <w:t xml:space="preserve">ho parlamentu a Rady č. 2004/17/ES a 2004/18/ES Úradný vestník EÚ – L 134. Stanovená implementačná lehota pre transpozíciu predmetných smerníc do vnútroštátnej legislatívy členských štátov EÚ uplynula dňa 31. 1. 2006. </w:t>
      </w:r>
    </w:p>
  </w:footnote>
  <w:footnote w:id="17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Existuje len v elektronickej verzi</w:t>
      </w:r>
      <w:r>
        <w:t xml:space="preserve">i na adrese </w:t>
      </w:r>
      <w:hyperlink r:id="rId7" w:history="1">
        <w:r>
          <w:rPr>
            <w:rStyle w:val="Hypertextovprepojenie"/>
          </w:rPr>
          <w:t>http://ted.publications.eu.int</w:t>
        </w:r>
      </w:hyperlink>
      <w:r>
        <w:t xml:space="preserve"> .</w:t>
      </w:r>
    </w:p>
  </w:footnote>
  <w:footnote w:id="18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V súvislosti so zoznamom kvalifikovaných dodávateľov viď bod 6) – vyššie.</w:t>
      </w:r>
    </w:p>
  </w:footnote>
  <w:footnote w:id="19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Doslovne „rozhodnutie o tom, že zmluva nebude zadaná“.</w:t>
      </w:r>
    </w:p>
  </w:footnote>
  <w:footnote w:id="20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V podstate ide o verejnú </w:t>
      </w:r>
      <w:r>
        <w:t>súťaž.</w:t>
      </w:r>
    </w:p>
  </w:footnote>
  <w:footnote w:id="21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V podstate ide o užšiu súťaž.</w:t>
      </w:r>
    </w:p>
  </w:footnote>
  <w:footnote w:id="22">
    <w:p w:rsidR="00000000" w:rsidRDefault="004D03A2">
      <w:pPr>
        <w:pStyle w:val="Textpoznmkypodiarou"/>
      </w:pPr>
      <w:r>
        <w:rPr>
          <w:rStyle w:val="Odkaznapoznmkupodiarou"/>
        </w:rPr>
        <w:footnoteRef/>
      </w:r>
      <w:r>
        <w:t xml:space="preserve">  Ide v podstate o priame zadanie, použiteľné len pri splnení presne špecifikovaných podmienok (Čl. XV).</w:t>
      </w:r>
    </w:p>
  </w:footnote>
  <w:footnote w:id="23">
    <w:p w:rsidR="00000000" w:rsidRDefault="004D03A2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 Aj v tejto veci sú však možné určité obmedzenia - vo forme generálnej nóty, predovšetkým ak je porušená zás</w:t>
      </w:r>
      <w:r>
        <w:t>ada vzájomnosti.</w:t>
      </w:r>
    </w:p>
  </w:footnote>
  <w:footnote w:id="24">
    <w:p w:rsidR="00000000" w:rsidRDefault="004D03A2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 Pozri Prílohu 2 k Dohode WTO: Dohovor o pravidlách a postupoch pri urovnávaní sporov (Zbierka zákonov č. 152/2000, strana 1946).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D03A2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000000" w:rsidRDefault="004D03A2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D03A2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2</w:t>
    </w:r>
    <w:r>
      <w:rPr>
        <w:rStyle w:val="slostrany"/>
      </w:rPr>
      <w:fldChar w:fldCharType="end"/>
    </w:r>
  </w:p>
  <w:p w:rsidR="00000000" w:rsidRDefault="004D03A2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DC447A"/>
    <w:multiLevelType w:val="hybridMultilevel"/>
    <w:tmpl w:val="1C7E72AE"/>
    <w:lvl w:ilvl="0" w:tplc="3A24C6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HS6oLZUd7ctRUgyfbpqLS8msWlutsk/9cn4ZqLocJXtyzdHKOUnOCVKuDdEC1AuvLSMY5/htjrjxiVyl5/qA0A==" w:salt="1R6foQ9pLnIwgL7UVfLDkQ=="/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A2"/>
    <w:rsid w:val="004D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E69B03-785E-450C-9900-29C3EAC2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semiHidden/>
    <w:rPr>
      <w:sz w:val="20"/>
      <w:szCs w:val="20"/>
    </w:rPr>
  </w:style>
  <w:style w:type="character" w:styleId="Odkaznapoznmkupodiarou">
    <w:name w:val="footnote reference"/>
    <w:basedOn w:val="Predvolenpsmoodseku"/>
    <w:semiHidden/>
    <w:rPr>
      <w:vertAlign w:val="superscript"/>
    </w:rPr>
  </w:style>
  <w:style w:type="character" w:styleId="Hypertextovprepojenie">
    <w:name w:val="Hyperlink"/>
    <w:basedOn w:val="Predvolenpsmoodseku"/>
    <w:semiHidden/>
    <w:rPr>
      <w:color w:val="0000FF"/>
      <w:u w:val="single"/>
    </w:rPr>
  </w:style>
  <w:style w:type="character" w:styleId="PouitHypertextovPrepojenie">
    <w:name w:val="FollowedHyperlink"/>
    <w:basedOn w:val="Predvolenpsmoodseku"/>
    <w:semiHidden/>
    <w:rPr>
      <w:color w:val="800080"/>
      <w:u w:val="single"/>
    </w:rPr>
  </w:style>
  <w:style w:type="paragraph" w:styleId="Zkladntext">
    <w:name w:val="Body Text"/>
    <w:basedOn w:val="Normlny"/>
    <w:semiHidden/>
    <w:pPr>
      <w:jc w:val="center"/>
    </w:pPr>
    <w:rPr>
      <w:b/>
      <w:bCs/>
      <w:sz w:val="26"/>
    </w:rPr>
  </w:style>
  <w:style w:type="paragraph" w:styleId="Zkladntext2">
    <w:name w:val="Body Text 2"/>
    <w:basedOn w:val="Normlny"/>
    <w:semiHidden/>
    <w:pPr>
      <w:jc w:val="both"/>
    </w:pPr>
    <w:rPr>
      <w:b/>
      <w:bCs/>
    </w:rPr>
  </w:style>
  <w:style w:type="paragraph" w:styleId="Hlavika">
    <w:name w:val="header"/>
    <w:basedOn w:val="Normlny"/>
    <w:semiHidden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wto.org/english/tratop_e/gproc_e/apend_e.htm#ec" TargetMode="External"/><Relationship Id="rId7" Type="http://schemas.openxmlformats.org/officeDocument/2006/relationships/hyperlink" Target="http://ted.publications.eu.int" TargetMode="External"/><Relationship Id="rId2" Type="http://schemas.openxmlformats.org/officeDocument/2006/relationships/hyperlink" Target="http://www.wto.org" TargetMode="External"/><Relationship Id="rId1" Type="http://schemas.openxmlformats.org/officeDocument/2006/relationships/hyperlink" Target="http://www.wto.org/english/docs_e/legal_e/gpr-94_01_e.htm" TargetMode="External"/><Relationship Id="rId6" Type="http://schemas.openxmlformats.org/officeDocument/2006/relationships/hyperlink" Target="http://www.wto.org/english/tratop_e/gproc_e/apiveng.doc" TargetMode="External"/><Relationship Id="rId5" Type="http://schemas.openxmlformats.org/officeDocument/2006/relationships/hyperlink" Target="http://www.wto.org/english/tratop_e/gproc_e/apiiieng.doc" TargetMode="External"/><Relationship Id="rId4" Type="http://schemas.openxmlformats.org/officeDocument/2006/relationships/hyperlink" Target="http://www.wto.org/english/tratop_e/gproc_e/apiieng.doc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2552</Words>
  <Characters>14548</Characters>
  <Application>Microsoft Office Word</Application>
  <DocSecurity>4</DocSecurity>
  <Lines>121</Lines>
  <Paragraphs>34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Stručná informácia o Dohode o vládnom obstarávaní v rámci Svetovej obchodnej organizácie</vt:lpstr>
      <vt:lpstr>Stručná informácia o Dohode o vládnom obstarávaní v rámci Svetovej obchodnej organizácie</vt:lpstr>
    </vt:vector>
  </TitlesOfParts>
  <Company>uvo</Company>
  <LinksUpToDate>false</LinksUpToDate>
  <CharactersWithSpaces>17066</CharactersWithSpaces>
  <SharedDoc>false</SharedDoc>
  <HLinks>
    <vt:vector size="42" baseType="variant">
      <vt:variant>
        <vt:i4>6291573</vt:i4>
      </vt:variant>
      <vt:variant>
        <vt:i4>18</vt:i4>
      </vt:variant>
      <vt:variant>
        <vt:i4>0</vt:i4>
      </vt:variant>
      <vt:variant>
        <vt:i4>5</vt:i4>
      </vt:variant>
      <vt:variant>
        <vt:lpwstr>http://ted.publications.eu.int/</vt:lpwstr>
      </vt:variant>
      <vt:variant>
        <vt:lpwstr/>
      </vt:variant>
      <vt:variant>
        <vt:i4>7602279</vt:i4>
      </vt:variant>
      <vt:variant>
        <vt:i4>15</vt:i4>
      </vt:variant>
      <vt:variant>
        <vt:i4>0</vt:i4>
      </vt:variant>
      <vt:variant>
        <vt:i4>5</vt:i4>
      </vt:variant>
      <vt:variant>
        <vt:lpwstr>http://www.wto.org/english/tratop_e/gproc_e/apiveng.doc</vt:lpwstr>
      </vt:variant>
      <vt:variant>
        <vt:lpwstr/>
      </vt:variant>
      <vt:variant>
        <vt:i4>4259911</vt:i4>
      </vt:variant>
      <vt:variant>
        <vt:i4>12</vt:i4>
      </vt:variant>
      <vt:variant>
        <vt:i4>0</vt:i4>
      </vt:variant>
      <vt:variant>
        <vt:i4>5</vt:i4>
      </vt:variant>
      <vt:variant>
        <vt:lpwstr>http://www.wto.org/english/tratop_e/gproc_e/apiiieng.doc</vt:lpwstr>
      </vt:variant>
      <vt:variant>
        <vt:lpwstr/>
      </vt:variant>
      <vt:variant>
        <vt:i4>7012455</vt:i4>
      </vt:variant>
      <vt:variant>
        <vt:i4>9</vt:i4>
      </vt:variant>
      <vt:variant>
        <vt:i4>0</vt:i4>
      </vt:variant>
      <vt:variant>
        <vt:i4>5</vt:i4>
      </vt:variant>
      <vt:variant>
        <vt:lpwstr>http://www.wto.org/english/tratop_e/gproc_e/apiieng.doc</vt:lpwstr>
      </vt:variant>
      <vt:variant>
        <vt:lpwstr/>
      </vt:variant>
      <vt:variant>
        <vt:i4>2424833</vt:i4>
      </vt:variant>
      <vt:variant>
        <vt:i4>6</vt:i4>
      </vt:variant>
      <vt:variant>
        <vt:i4>0</vt:i4>
      </vt:variant>
      <vt:variant>
        <vt:i4>5</vt:i4>
      </vt:variant>
      <vt:variant>
        <vt:lpwstr>http://www.wto.org/english/tratop_e/gproc_e/apend_e.htm</vt:lpwstr>
      </vt:variant>
      <vt:variant>
        <vt:lpwstr>ec</vt:lpwstr>
      </vt:variant>
      <vt:variant>
        <vt:i4>3866744</vt:i4>
      </vt:variant>
      <vt:variant>
        <vt:i4>3</vt:i4>
      </vt:variant>
      <vt:variant>
        <vt:i4>0</vt:i4>
      </vt:variant>
      <vt:variant>
        <vt:i4>5</vt:i4>
      </vt:variant>
      <vt:variant>
        <vt:lpwstr>http://www.wto.org/</vt:lpwstr>
      </vt:variant>
      <vt:variant>
        <vt:lpwstr/>
      </vt:variant>
      <vt:variant>
        <vt:i4>6750269</vt:i4>
      </vt:variant>
      <vt:variant>
        <vt:i4>0</vt:i4>
      </vt:variant>
      <vt:variant>
        <vt:i4>0</vt:i4>
      </vt:variant>
      <vt:variant>
        <vt:i4>5</vt:i4>
      </vt:variant>
      <vt:variant>
        <vt:lpwstr>http://www.wto.org/english/docs_e/legal_e/gpr-94_01_e.htm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Stručná informácia o Dohode o vládnom obstarávaní v rámci Svetovej obchodnej organizácie</dc:title>
  <dc:subject/>
  <dc:creator>hudec</dc:creator>
  <cp:keywords/>
  <cp:lastModifiedBy>Putorakova</cp:lastModifiedBy>
  <cp:revision>2</cp:revision>
  <cp:lastPrinted>2004-05-31T08:47:00Z</cp:lastPrinted>
  <dcterms:created xsi:type="dcterms:W3CDTF">2015-07-21T10:18:00Z</dcterms:created>
  <dcterms:modified xsi:type="dcterms:W3CDTF">2015-07-21T10:18:00Z</dcterms:modified>
</cp:coreProperties>
</file>