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786" w:rsidRDefault="00847786">
      <w:pPr>
        <w:pStyle w:val="Nadpis3"/>
      </w:pPr>
      <w:bookmarkStart w:id="0" w:name="_GoBack"/>
      <w:bookmarkEnd w:id="0"/>
      <w:r>
        <w:t xml:space="preserve">Pomôcka </w:t>
      </w:r>
    </w:p>
    <w:p w:rsidR="00847786" w:rsidRPr="00804994" w:rsidRDefault="00847786">
      <w:pPr>
        <w:pStyle w:val="Nadpis4"/>
        <w:rPr>
          <w:sz w:val="20"/>
          <w:szCs w:val="20"/>
        </w:rPr>
      </w:pPr>
      <w:r w:rsidRPr="00804994">
        <w:rPr>
          <w:sz w:val="20"/>
          <w:szCs w:val="20"/>
        </w:rPr>
        <w:t xml:space="preserve">NADLIMITNÉ OBSTARÁVANIE </w:t>
      </w:r>
      <w:r w:rsidR="009B2F94">
        <w:rPr>
          <w:sz w:val="20"/>
          <w:szCs w:val="20"/>
        </w:rPr>
        <w:t xml:space="preserve">NIEKTORÝCH </w:t>
      </w:r>
      <w:r w:rsidRPr="00804994">
        <w:rPr>
          <w:sz w:val="20"/>
          <w:szCs w:val="20"/>
          <w:u w:val="single"/>
        </w:rPr>
        <w:t>SLUŽIEB</w:t>
      </w:r>
      <w:r w:rsidRPr="00804994">
        <w:rPr>
          <w:sz w:val="20"/>
          <w:szCs w:val="20"/>
        </w:rPr>
        <w:t xml:space="preserve"> PODĽA SMERNÍC EÚ A PODĽA DOHODY O VLÁDNOM OBSTARÁVANÍ (GPA</w:t>
      </w:r>
      <w:r w:rsidR="008B4425" w:rsidRPr="00804994">
        <w:rPr>
          <w:sz w:val="20"/>
          <w:szCs w:val="20"/>
        </w:rPr>
        <w:t xml:space="preserve"> 1994</w:t>
      </w:r>
      <w:r w:rsidRPr="00804994">
        <w:rPr>
          <w:sz w:val="20"/>
          <w:szCs w:val="20"/>
        </w:rPr>
        <w:t>)</w:t>
      </w:r>
    </w:p>
    <w:p w:rsidR="00847786" w:rsidRDefault="00847786">
      <w:pPr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3070"/>
        <w:gridCol w:w="3070"/>
      </w:tblGrid>
      <w:tr w:rsidR="00847786">
        <w:tblPrEx>
          <w:tblCellMar>
            <w:top w:w="0" w:type="dxa"/>
            <w:bottom w:w="0" w:type="dxa"/>
          </w:tblCellMar>
        </w:tblPrEx>
        <w:tc>
          <w:tcPr>
            <w:tcW w:w="3070" w:type="dxa"/>
          </w:tcPr>
          <w:p w:rsidR="00847786" w:rsidRDefault="009736DB">
            <w:pPr>
              <w:rPr>
                <w:b/>
                <w:bCs/>
              </w:rPr>
            </w:pPr>
            <w:r>
              <w:rPr>
                <w:noProof/>
                <w:sz w:val="20"/>
                <w:lang w:eastAsia="sk-SK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22225</wp:posOffset>
                      </wp:positionV>
                      <wp:extent cx="1987550" cy="1030605"/>
                      <wp:effectExtent l="5080" t="6985" r="7620" b="1016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7550" cy="10306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703154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1.75pt" to="150.5pt,8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" o:allowincell="f"/>
                  </w:pict>
                </mc:Fallback>
              </mc:AlternateContent>
            </w:r>
            <w:r w:rsidR="00847786">
              <w:t xml:space="preserve">                                </w:t>
            </w:r>
            <w:r w:rsidR="00847786">
              <w:rPr>
                <w:b/>
                <w:bCs/>
              </w:rPr>
              <w:t>SLUŽBY</w:t>
            </w:r>
          </w:p>
          <w:p w:rsidR="00847786" w:rsidRDefault="00847786"/>
          <w:p w:rsidR="00847786" w:rsidRDefault="00847786"/>
          <w:p w:rsidR="00847786" w:rsidRDefault="00847786"/>
          <w:p w:rsidR="00847786" w:rsidRDefault="00847786"/>
          <w:p w:rsidR="00847786" w:rsidRDefault="00847786">
            <w:pPr>
              <w:pStyle w:val="Nadpis1"/>
            </w:pPr>
            <w:r>
              <w:t>OBSTARÁVATELIA</w:t>
            </w:r>
          </w:p>
        </w:tc>
        <w:tc>
          <w:tcPr>
            <w:tcW w:w="3070" w:type="dxa"/>
          </w:tcPr>
          <w:p w:rsidR="00847786" w:rsidRDefault="0084778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Príloha 3 zákona č. </w:t>
            </w:r>
            <w:r w:rsidR="00446C1E">
              <w:rPr>
                <w:b/>
                <w:bCs/>
              </w:rPr>
              <w:t>25</w:t>
            </w:r>
            <w:r>
              <w:rPr>
                <w:b/>
                <w:bCs/>
              </w:rPr>
              <w:t>/200</w:t>
            </w:r>
            <w:r w:rsidR="00446C1E">
              <w:rPr>
                <w:b/>
                <w:bCs/>
              </w:rPr>
              <w:t>6</w:t>
            </w:r>
            <w:r>
              <w:rPr>
                <w:b/>
                <w:bCs/>
              </w:rPr>
              <w:t xml:space="preserve"> Z. z., okrem výskumných a vývojových služieb a telekomunikačných služieb </w:t>
            </w:r>
            <w:r w:rsidR="00446C1E">
              <w:rPr>
                <w:b/>
                <w:bCs/>
              </w:rPr>
              <w:t xml:space="preserve">– CPC </w:t>
            </w:r>
            <w:r>
              <w:rPr>
                <w:b/>
                <w:bCs/>
              </w:rPr>
              <w:t>752</w:t>
            </w:r>
            <w:r w:rsidR="00446C1E">
              <w:rPr>
                <w:b/>
                <w:bCs/>
              </w:rPr>
              <w:t>(</w:t>
            </w:r>
            <w:r>
              <w:rPr>
                <w:b/>
                <w:bCs/>
              </w:rPr>
              <w:t>4</w:t>
            </w:r>
            <w:r w:rsidR="00446C1E">
              <w:rPr>
                <w:b/>
                <w:bCs/>
              </w:rPr>
              <w:t>)</w:t>
            </w:r>
            <w:r>
              <w:rPr>
                <w:b/>
                <w:bCs/>
              </w:rPr>
              <w:t>, 752</w:t>
            </w:r>
            <w:r w:rsidR="00446C1E">
              <w:rPr>
                <w:b/>
                <w:bCs/>
              </w:rPr>
              <w:t>(</w:t>
            </w:r>
            <w:r>
              <w:rPr>
                <w:b/>
                <w:bCs/>
              </w:rPr>
              <w:t>5</w:t>
            </w:r>
            <w:r w:rsidR="00446C1E">
              <w:rPr>
                <w:b/>
                <w:bCs/>
              </w:rPr>
              <w:t>)</w:t>
            </w:r>
            <w:r>
              <w:rPr>
                <w:b/>
                <w:bCs/>
              </w:rPr>
              <w:t>, 752</w:t>
            </w:r>
            <w:r w:rsidR="00446C1E">
              <w:rPr>
                <w:b/>
                <w:bCs/>
              </w:rPr>
              <w:t>(</w:t>
            </w:r>
            <w:r>
              <w:rPr>
                <w:b/>
                <w:bCs/>
              </w:rPr>
              <w:t>6</w:t>
            </w:r>
            <w:r w:rsidR="00446C1E">
              <w:rPr>
                <w:b/>
                <w:bCs/>
              </w:rPr>
              <w:t>)</w:t>
            </w:r>
          </w:p>
        </w:tc>
        <w:tc>
          <w:tcPr>
            <w:tcW w:w="3070" w:type="dxa"/>
          </w:tcPr>
          <w:p w:rsidR="00847786" w:rsidRDefault="0084778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Príloha 4 zákona č. </w:t>
            </w:r>
            <w:r w:rsidR="00804994">
              <w:rPr>
                <w:b/>
                <w:bCs/>
              </w:rPr>
              <w:t>2</w:t>
            </w:r>
            <w:r>
              <w:rPr>
                <w:b/>
                <w:bCs/>
              </w:rPr>
              <w:t>5/200</w:t>
            </w:r>
            <w:r w:rsidR="00804994">
              <w:rPr>
                <w:b/>
                <w:bCs/>
              </w:rPr>
              <w:t>6</w:t>
            </w:r>
            <w:r>
              <w:rPr>
                <w:b/>
                <w:bCs/>
              </w:rPr>
              <w:t xml:space="preserve"> Z. z., plus výskumné a vý-vojové služby a telekomu-nikačné služby 752</w:t>
            </w:r>
            <w:r w:rsidR="00804994">
              <w:rPr>
                <w:b/>
                <w:bCs/>
              </w:rPr>
              <w:t>(</w:t>
            </w:r>
            <w:r>
              <w:rPr>
                <w:b/>
                <w:bCs/>
              </w:rPr>
              <w:t>4</w:t>
            </w:r>
            <w:r w:rsidR="00804994">
              <w:rPr>
                <w:b/>
                <w:bCs/>
              </w:rPr>
              <w:t>)</w:t>
            </w:r>
            <w:r>
              <w:rPr>
                <w:b/>
                <w:bCs/>
              </w:rPr>
              <w:t>, 752</w:t>
            </w:r>
            <w:r w:rsidR="00804994">
              <w:rPr>
                <w:b/>
                <w:bCs/>
              </w:rPr>
              <w:t>(</w:t>
            </w:r>
            <w:r>
              <w:rPr>
                <w:b/>
                <w:bCs/>
              </w:rPr>
              <w:t>5</w:t>
            </w:r>
            <w:r w:rsidR="00804994">
              <w:rPr>
                <w:b/>
                <w:bCs/>
              </w:rPr>
              <w:t>)</w:t>
            </w:r>
            <w:r>
              <w:rPr>
                <w:b/>
                <w:bCs/>
              </w:rPr>
              <w:t>, 752</w:t>
            </w:r>
            <w:r w:rsidR="00804994">
              <w:rPr>
                <w:b/>
                <w:bCs/>
              </w:rPr>
              <w:t>(</w:t>
            </w:r>
            <w:r>
              <w:rPr>
                <w:b/>
                <w:bCs/>
              </w:rPr>
              <w:t>6</w:t>
            </w:r>
            <w:r w:rsidR="00804994">
              <w:rPr>
                <w:b/>
                <w:bCs/>
              </w:rPr>
              <w:t>)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i/>
                <w:iCs/>
              </w:rPr>
              <w:t>(tieto služby vôbec nepodliehajú pod GPA)</w:t>
            </w:r>
          </w:p>
        </w:tc>
      </w:tr>
      <w:tr w:rsidR="00847786">
        <w:tblPrEx>
          <w:tblCellMar>
            <w:top w:w="0" w:type="dxa"/>
            <w:bottom w:w="0" w:type="dxa"/>
          </w:tblCellMar>
        </w:tblPrEx>
        <w:tc>
          <w:tcPr>
            <w:tcW w:w="3070" w:type="dxa"/>
          </w:tcPr>
          <w:p w:rsidR="00847786" w:rsidRDefault="00847786">
            <w:r>
              <w:rPr>
                <w:b/>
                <w:bCs/>
                <w:u w:val="single"/>
              </w:rPr>
              <w:t>„Klasickí“ obstarávatelia</w:t>
            </w:r>
            <w:r>
              <w:t xml:space="preserve"> – </w:t>
            </w:r>
          </w:p>
          <w:p w:rsidR="00847786" w:rsidRDefault="00847786">
            <w:pPr>
              <w:rPr>
                <w:sz w:val="20"/>
                <w:vertAlign w:val="superscript"/>
              </w:rPr>
            </w:pPr>
            <w:r>
              <w:rPr>
                <w:sz w:val="20"/>
              </w:rPr>
              <w:t>ústredné orgány verejnej správy, tak ako sú uvedení v prílohe I smernice 93/36/EHS</w:t>
            </w:r>
            <w:r>
              <w:rPr>
                <w:sz w:val="20"/>
                <w:vertAlign w:val="superscript"/>
              </w:rPr>
              <w:t>*)</w:t>
            </w:r>
            <w:r>
              <w:rPr>
                <w:sz w:val="20"/>
              </w:rPr>
              <w:t xml:space="preserve"> (pozri zoznam uvedený v Dodatku I, príloha 1 ku GPA pre Európske spoločenstvá / Sloven-sko)</w:t>
            </w:r>
            <w:r>
              <w:rPr>
                <w:sz w:val="20"/>
                <w:vertAlign w:val="superscript"/>
              </w:rPr>
              <w:t>**)</w:t>
            </w:r>
          </w:p>
        </w:tc>
        <w:tc>
          <w:tcPr>
            <w:tcW w:w="3070" w:type="dxa"/>
          </w:tcPr>
          <w:p w:rsidR="00847786" w:rsidRDefault="00847786"/>
          <w:p w:rsidR="00847786" w:rsidRDefault="00847786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130 000 SDR</w:t>
            </w:r>
          </w:p>
          <w:p w:rsidR="002737DE" w:rsidRDefault="002737DE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133 000 EUR</w:t>
            </w:r>
          </w:p>
        </w:tc>
        <w:tc>
          <w:tcPr>
            <w:tcW w:w="3070" w:type="dxa"/>
          </w:tcPr>
          <w:p w:rsidR="00847786" w:rsidRDefault="00847786"/>
          <w:p w:rsidR="00847786" w:rsidRDefault="00847786"/>
          <w:p w:rsidR="00847786" w:rsidRDefault="00847786"/>
          <w:p w:rsidR="00847786" w:rsidRDefault="002737DE">
            <w:pPr>
              <w:jc w:val="center"/>
            </w:pPr>
            <w:r>
              <w:t>2</w:t>
            </w:r>
            <w:r w:rsidR="00752AC1">
              <w:t>06</w:t>
            </w:r>
            <w:r w:rsidR="00847786">
              <w:t xml:space="preserve"> 000 EUR</w:t>
            </w:r>
          </w:p>
        </w:tc>
      </w:tr>
      <w:tr w:rsidR="00847786">
        <w:tblPrEx>
          <w:tblCellMar>
            <w:top w:w="0" w:type="dxa"/>
            <w:bottom w:w="0" w:type="dxa"/>
          </w:tblCellMar>
        </w:tblPrEx>
        <w:tc>
          <w:tcPr>
            <w:tcW w:w="3070" w:type="dxa"/>
          </w:tcPr>
          <w:p w:rsidR="00847786" w:rsidRDefault="00847786">
            <w:pPr>
              <w:rPr>
                <w:sz w:val="20"/>
              </w:rPr>
            </w:pPr>
            <w:r>
              <w:rPr>
                <w:sz w:val="20"/>
              </w:rPr>
              <w:t>Verejné orgány neuvedené v prílohe I smernice 93/36/EHS</w:t>
            </w:r>
            <w:r>
              <w:rPr>
                <w:sz w:val="20"/>
                <w:vertAlign w:val="superscript"/>
              </w:rPr>
              <w:t>*)</w:t>
            </w:r>
            <w:r>
              <w:rPr>
                <w:sz w:val="20"/>
              </w:rPr>
              <w:t xml:space="preserve"> (tzv. sub-centrálna úroveň, pozri zoznam v Dodatku I, príloha 2 ku GPA pre ES/SR)</w:t>
            </w:r>
            <w:r>
              <w:rPr>
                <w:sz w:val="20"/>
                <w:vertAlign w:val="superscript"/>
              </w:rPr>
              <w:t xml:space="preserve">**) </w:t>
            </w:r>
            <w:r w:rsidR="00804994">
              <w:rPr>
                <w:sz w:val="20"/>
              </w:rPr>
              <w:t>pozri aj § 6</w:t>
            </w:r>
            <w:r>
              <w:rPr>
                <w:sz w:val="20"/>
              </w:rPr>
              <w:t xml:space="preserve"> zákona č. </w:t>
            </w:r>
            <w:r w:rsidR="00804994">
              <w:rPr>
                <w:sz w:val="20"/>
              </w:rPr>
              <w:t>2</w:t>
            </w:r>
            <w:r>
              <w:rPr>
                <w:sz w:val="20"/>
              </w:rPr>
              <w:t>5/200</w:t>
            </w:r>
            <w:r w:rsidR="00804994">
              <w:rPr>
                <w:sz w:val="20"/>
              </w:rPr>
              <w:t>6</w:t>
            </w:r>
            <w:r>
              <w:rPr>
                <w:sz w:val="20"/>
              </w:rPr>
              <w:t xml:space="preserve"> Z. z. </w:t>
            </w:r>
          </w:p>
        </w:tc>
        <w:tc>
          <w:tcPr>
            <w:tcW w:w="3070" w:type="dxa"/>
          </w:tcPr>
          <w:p w:rsidR="00847786" w:rsidRDefault="00847786"/>
          <w:p w:rsidR="00847786" w:rsidRDefault="00847786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200 000 SDR</w:t>
            </w:r>
          </w:p>
          <w:p w:rsidR="002737DE" w:rsidRDefault="00752AC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206</w:t>
            </w:r>
            <w:r w:rsidR="002737DE">
              <w:rPr>
                <w:b/>
                <w:bCs/>
                <w:sz w:val="28"/>
              </w:rPr>
              <w:t> 000 EUR</w:t>
            </w:r>
          </w:p>
        </w:tc>
        <w:tc>
          <w:tcPr>
            <w:tcW w:w="3070" w:type="dxa"/>
          </w:tcPr>
          <w:p w:rsidR="00847786" w:rsidRDefault="00847786"/>
          <w:p w:rsidR="00847786" w:rsidRDefault="00847786"/>
          <w:p w:rsidR="00847786" w:rsidRDefault="002737DE">
            <w:pPr>
              <w:jc w:val="center"/>
            </w:pPr>
            <w:r>
              <w:t>2</w:t>
            </w:r>
            <w:r w:rsidR="00752AC1">
              <w:t>06</w:t>
            </w:r>
            <w:r w:rsidR="00847786">
              <w:t xml:space="preserve"> 000 EUR</w:t>
            </w:r>
          </w:p>
        </w:tc>
      </w:tr>
      <w:tr w:rsidR="00847786">
        <w:tblPrEx>
          <w:tblCellMar>
            <w:top w:w="0" w:type="dxa"/>
            <w:bottom w:w="0" w:type="dxa"/>
          </w:tblCellMar>
        </w:tblPrEx>
        <w:tc>
          <w:tcPr>
            <w:tcW w:w="3070" w:type="dxa"/>
          </w:tcPr>
          <w:p w:rsidR="00847786" w:rsidRDefault="00847786">
            <w:pPr>
              <w:rPr>
                <w:sz w:val="20"/>
              </w:rPr>
            </w:pPr>
            <w:r>
              <w:rPr>
                <w:sz w:val="20"/>
              </w:rPr>
              <w:t>Obstarávatelia, ktorí sú súkromnými subjektami a obstarávajú služby v súvislosti so získanou z</w:t>
            </w:r>
            <w:r w:rsidR="00804994">
              <w:rPr>
                <w:sz w:val="20"/>
              </w:rPr>
              <w:t>ákazkou</w:t>
            </w:r>
            <w:r>
              <w:rPr>
                <w:sz w:val="20"/>
              </w:rPr>
              <w:t xml:space="preserve"> na stavebné práce, ktorá je dotovaná z viac ako 50% z verejných zdrojov </w:t>
            </w:r>
          </w:p>
        </w:tc>
        <w:tc>
          <w:tcPr>
            <w:tcW w:w="3070" w:type="dxa"/>
          </w:tcPr>
          <w:p w:rsidR="00847786" w:rsidRDefault="00847786"/>
          <w:p w:rsidR="00847786" w:rsidRDefault="00847786"/>
          <w:p w:rsidR="00847786" w:rsidRDefault="00847786">
            <w:pPr>
              <w:jc w:val="center"/>
            </w:pPr>
            <w:r>
              <w:t>2</w:t>
            </w:r>
            <w:r w:rsidR="002737DE">
              <w:t>11</w:t>
            </w:r>
            <w:r>
              <w:t xml:space="preserve"> 000 EUR</w:t>
            </w:r>
          </w:p>
        </w:tc>
        <w:tc>
          <w:tcPr>
            <w:tcW w:w="3070" w:type="dxa"/>
          </w:tcPr>
          <w:p w:rsidR="00847786" w:rsidRDefault="00847786"/>
          <w:p w:rsidR="00847786" w:rsidRDefault="00847786"/>
          <w:p w:rsidR="00847786" w:rsidRDefault="002737DE">
            <w:pPr>
              <w:jc w:val="center"/>
            </w:pPr>
            <w:r>
              <w:t>2</w:t>
            </w:r>
            <w:r w:rsidR="00752AC1">
              <w:t>06</w:t>
            </w:r>
            <w:r w:rsidR="00847786">
              <w:t xml:space="preserve"> 000 EUR</w:t>
            </w:r>
          </w:p>
        </w:tc>
      </w:tr>
      <w:tr w:rsidR="00847786">
        <w:tblPrEx>
          <w:tblCellMar>
            <w:top w:w="0" w:type="dxa"/>
            <w:bottom w:w="0" w:type="dxa"/>
          </w:tblCellMar>
        </w:tblPrEx>
        <w:tc>
          <w:tcPr>
            <w:tcW w:w="3070" w:type="dxa"/>
          </w:tcPr>
          <w:p w:rsidR="00847786" w:rsidRDefault="00847786">
            <w:pPr>
              <w:pStyle w:val="Nadpis2"/>
              <w:rPr>
                <w:vertAlign w:val="superscript"/>
              </w:rPr>
            </w:pPr>
            <w:r>
              <w:t>Vybrané odvetvia</w:t>
            </w:r>
            <w:r>
              <w:rPr>
                <w:u w:val="none"/>
                <w:vertAlign w:val="superscript"/>
              </w:rPr>
              <w:t>***)</w:t>
            </w:r>
          </w:p>
          <w:p w:rsidR="00847786" w:rsidRDefault="00847786">
            <w:r>
              <w:t xml:space="preserve">● </w:t>
            </w:r>
            <w:r>
              <w:rPr>
                <w:b/>
                <w:bCs/>
              </w:rPr>
              <w:t>ktoré spadajú pod GPA</w:t>
            </w:r>
          </w:p>
          <w:p w:rsidR="00847786" w:rsidRDefault="00847786">
            <w:pPr>
              <w:rPr>
                <w:sz w:val="20"/>
              </w:rPr>
            </w:pPr>
            <w:r>
              <w:rPr>
                <w:sz w:val="20"/>
              </w:rPr>
              <w:t xml:space="preserve">   pitná voda</w:t>
            </w:r>
          </w:p>
          <w:p w:rsidR="00847786" w:rsidRDefault="00847786">
            <w:pPr>
              <w:rPr>
                <w:sz w:val="20"/>
              </w:rPr>
            </w:pPr>
            <w:r>
              <w:rPr>
                <w:sz w:val="20"/>
              </w:rPr>
              <w:t xml:space="preserve">   elektrická energia</w:t>
            </w:r>
          </w:p>
          <w:p w:rsidR="00847786" w:rsidRDefault="00847786">
            <w:pPr>
              <w:rPr>
                <w:sz w:val="20"/>
              </w:rPr>
            </w:pPr>
            <w:r>
              <w:rPr>
                <w:sz w:val="20"/>
              </w:rPr>
              <w:t xml:space="preserve">   prístavy</w:t>
            </w:r>
          </w:p>
          <w:p w:rsidR="00847786" w:rsidRDefault="00847786">
            <w:pPr>
              <w:rPr>
                <w:sz w:val="20"/>
              </w:rPr>
            </w:pPr>
            <w:r>
              <w:rPr>
                <w:sz w:val="20"/>
              </w:rPr>
              <w:t xml:space="preserve">   letiská</w:t>
            </w:r>
          </w:p>
          <w:p w:rsidR="00847786" w:rsidRDefault="00847786">
            <w:pPr>
              <w:rPr>
                <w:sz w:val="20"/>
              </w:rPr>
            </w:pPr>
            <w:r>
              <w:rPr>
                <w:sz w:val="20"/>
              </w:rPr>
              <w:t xml:space="preserve">   mestská koľajová doprava</w:t>
            </w:r>
          </w:p>
          <w:p w:rsidR="00847786" w:rsidRDefault="00847786">
            <w:pPr>
              <w:rPr>
                <w:sz w:val="20"/>
              </w:rPr>
            </w:pPr>
            <w:r>
              <w:rPr>
                <w:sz w:val="20"/>
              </w:rPr>
              <w:t xml:space="preserve">   mestská autobusová /trolejbusová doprava</w:t>
            </w:r>
          </w:p>
          <w:p w:rsidR="00847786" w:rsidRDefault="00847786">
            <w:r>
              <w:rPr>
                <w:sz w:val="20"/>
              </w:rPr>
              <w:t>(všetky subjekty)</w:t>
            </w:r>
          </w:p>
        </w:tc>
        <w:tc>
          <w:tcPr>
            <w:tcW w:w="3070" w:type="dxa"/>
          </w:tcPr>
          <w:p w:rsidR="00847786" w:rsidRDefault="00847786"/>
          <w:p w:rsidR="00847786" w:rsidRDefault="00847786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400 000 SDR</w:t>
            </w:r>
          </w:p>
          <w:p w:rsidR="002737DE" w:rsidRDefault="002737DE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412 000 EUR</w:t>
            </w:r>
          </w:p>
        </w:tc>
        <w:tc>
          <w:tcPr>
            <w:tcW w:w="3070" w:type="dxa"/>
          </w:tcPr>
          <w:p w:rsidR="00847786" w:rsidRDefault="00847786"/>
          <w:p w:rsidR="00847786" w:rsidRDefault="00847786"/>
          <w:p w:rsidR="00847786" w:rsidRDefault="00847786"/>
          <w:p w:rsidR="00847786" w:rsidRDefault="00847786"/>
          <w:p w:rsidR="00847786" w:rsidRDefault="002737DE">
            <w:pPr>
              <w:jc w:val="center"/>
            </w:pPr>
            <w:r>
              <w:t>412</w:t>
            </w:r>
            <w:r w:rsidR="00847786">
              <w:t xml:space="preserve"> 000 EUR</w:t>
            </w:r>
          </w:p>
        </w:tc>
      </w:tr>
      <w:tr w:rsidR="00847786">
        <w:tblPrEx>
          <w:tblCellMar>
            <w:top w:w="0" w:type="dxa"/>
            <w:bottom w:w="0" w:type="dxa"/>
          </w:tblCellMar>
        </w:tblPrEx>
        <w:tc>
          <w:tcPr>
            <w:tcW w:w="3070" w:type="dxa"/>
          </w:tcPr>
          <w:p w:rsidR="00847786" w:rsidRDefault="00847786">
            <w:pPr>
              <w:rPr>
                <w:b/>
                <w:bCs/>
              </w:rPr>
            </w:pPr>
            <w:r>
              <w:rPr>
                <w:b/>
                <w:bCs/>
                <w:u w:val="single"/>
              </w:rPr>
              <w:t>Vybrané odvetvia</w:t>
            </w:r>
            <w:r>
              <w:rPr>
                <w:b/>
                <w:bCs/>
              </w:rPr>
              <w:t>***)</w:t>
            </w:r>
          </w:p>
          <w:p w:rsidR="00847786" w:rsidRDefault="00847786">
            <w:pPr>
              <w:rPr>
                <w:b/>
                <w:bCs/>
              </w:rPr>
            </w:pPr>
            <w:r>
              <w:rPr>
                <w:b/>
                <w:bCs/>
              </w:rPr>
              <w:t>● ktoré nespadajú pod GPA</w:t>
            </w:r>
          </w:p>
          <w:p w:rsidR="00847786" w:rsidRDefault="00847786">
            <w:pPr>
              <w:rPr>
                <w:sz w:val="20"/>
              </w:rPr>
            </w:pPr>
            <w:r>
              <w:rPr>
                <w:sz w:val="20"/>
              </w:rPr>
              <w:t xml:space="preserve">   plyn a teplo</w:t>
            </w:r>
          </w:p>
          <w:p w:rsidR="00847786" w:rsidRDefault="00847786">
            <w:pPr>
              <w:rPr>
                <w:sz w:val="20"/>
              </w:rPr>
            </w:pPr>
            <w:r>
              <w:rPr>
                <w:sz w:val="20"/>
              </w:rPr>
              <w:t xml:space="preserve">   ropa, pevné palivá</w:t>
            </w:r>
          </w:p>
          <w:p w:rsidR="00847786" w:rsidRDefault="00847786">
            <w:pPr>
              <w:rPr>
                <w:sz w:val="20"/>
              </w:rPr>
            </w:pPr>
            <w:r>
              <w:rPr>
                <w:sz w:val="20"/>
              </w:rPr>
              <w:t xml:space="preserve">   medzimestská železničná doprava</w:t>
            </w:r>
          </w:p>
          <w:p w:rsidR="00847786" w:rsidRDefault="00847786">
            <w:pPr>
              <w:rPr>
                <w:u w:val="single"/>
              </w:rPr>
            </w:pPr>
            <w:r>
              <w:rPr>
                <w:sz w:val="20"/>
              </w:rPr>
              <w:t>(všetky subjekty)</w:t>
            </w:r>
          </w:p>
        </w:tc>
        <w:tc>
          <w:tcPr>
            <w:tcW w:w="3070" w:type="dxa"/>
          </w:tcPr>
          <w:p w:rsidR="00847786" w:rsidRDefault="00847786"/>
          <w:p w:rsidR="00847786" w:rsidRDefault="00847786"/>
          <w:p w:rsidR="00847786" w:rsidRDefault="00847786">
            <w:pPr>
              <w:jc w:val="center"/>
            </w:pPr>
            <w:r>
              <w:t>4</w:t>
            </w:r>
            <w:r w:rsidR="002737DE">
              <w:t>12</w:t>
            </w:r>
            <w:r>
              <w:t xml:space="preserve"> 000 EUR</w:t>
            </w:r>
          </w:p>
        </w:tc>
        <w:tc>
          <w:tcPr>
            <w:tcW w:w="3070" w:type="dxa"/>
          </w:tcPr>
          <w:p w:rsidR="00847786" w:rsidRDefault="00847786"/>
          <w:p w:rsidR="00847786" w:rsidRDefault="00847786"/>
          <w:p w:rsidR="00847786" w:rsidRDefault="002737DE">
            <w:pPr>
              <w:jc w:val="center"/>
            </w:pPr>
            <w:r>
              <w:t>412</w:t>
            </w:r>
            <w:r w:rsidR="00847786">
              <w:t xml:space="preserve"> 000 EUR</w:t>
            </w:r>
          </w:p>
        </w:tc>
      </w:tr>
      <w:tr w:rsidR="000E33DE" w:rsidTr="003C1E29">
        <w:tblPrEx>
          <w:tblCellMar>
            <w:top w:w="0" w:type="dxa"/>
            <w:bottom w:w="0" w:type="dxa"/>
          </w:tblCellMar>
        </w:tblPrEx>
        <w:tc>
          <w:tcPr>
            <w:tcW w:w="3070" w:type="dxa"/>
          </w:tcPr>
          <w:p w:rsidR="000E33DE" w:rsidRDefault="000E33DE">
            <w:pPr>
              <w:rPr>
                <w:sz w:val="20"/>
              </w:rPr>
            </w:pPr>
            <w:r>
              <w:t xml:space="preserve">● </w:t>
            </w:r>
            <w:r>
              <w:rPr>
                <w:sz w:val="20"/>
              </w:rPr>
              <w:t>telekomunikácie</w:t>
            </w:r>
          </w:p>
          <w:p w:rsidR="000E33DE" w:rsidRDefault="000E33DE">
            <w:r>
              <w:rPr>
                <w:sz w:val="20"/>
              </w:rPr>
              <w:t>(všetky subjekty)</w:t>
            </w:r>
          </w:p>
        </w:tc>
        <w:tc>
          <w:tcPr>
            <w:tcW w:w="6140" w:type="dxa"/>
            <w:gridSpan w:val="2"/>
          </w:tcPr>
          <w:p w:rsidR="000E33DE" w:rsidRDefault="00DB1EAB">
            <w:pPr>
              <w:jc w:val="center"/>
            </w:pPr>
            <w:r>
              <w:t>Pozri poznámku na 2. strane</w:t>
            </w:r>
          </w:p>
        </w:tc>
      </w:tr>
    </w:tbl>
    <w:p w:rsidR="00847786" w:rsidRDefault="00847786">
      <w:pPr>
        <w:jc w:val="both"/>
        <w:rPr>
          <w:sz w:val="20"/>
        </w:rPr>
      </w:pPr>
      <w:r>
        <w:rPr>
          <w:vertAlign w:val="superscript"/>
        </w:rPr>
        <w:t xml:space="preserve">*) </w:t>
      </w:r>
      <w:r>
        <w:rPr>
          <w:sz w:val="20"/>
        </w:rPr>
        <w:t>Pozri na internetovej stránke</w:t>
      </w:r>
      <w:r w:rsidR="000C633D">
        <w:rPr>
          <w:sz w:val="20"/>
        </w:rPr>
        <w:t xml:space="preserve"> </w:t>
      </w:r>
      <w:hyperlink r:id="rId6" w:history="1">
        <w:r w:rsidR="000C633D" w:rsidRPr="00392993">
          <w:rPr>
            <w:rStyle w:val="Hypertextovprepojenie"/>
            <w:sz w:val="20"/>
          </w:rPr>
          <w:t>http://eur-lex.europa.eu/sk/treaties/index.htm</w:t>
        </w:r>
      </w:hyperlink>
      <w:r w:rsidR="000C633D">
        <w:rPr>
          <w:sz w:val="20"/>
        </w:rPr>
        <w:t xml:space="preserve"> </w:t>
      </w:r>
      <w:r>
        <w:rPr>
          <w:sz w:val="20"/>
        </w:rPr>
        <w:t>►Zmluv</w:t>
      </w:r>
      <w:r w:rsidR="000C633D">
        <w:rPr>
          <w:sz w:val="20"/>
        </w:rPr>
        <w:t xml:space="preserve">y►Prístupové </w:t>
      </w:r>
      <w:r w:rsidR="003F554A">
        <w:rPr>
          <w:sz w:val="20"/>
        </w:rPr>
        <w:t>zmluvy</w:t>
      </w:r>
      <w:r>
        <w:rPr>
          <w:sz w:val="20"/>
        </w:rPr>
        <w:t xml:space="preserve"> </w:t>
      </w:r>
      <w:r w:rsidR="006C58F9">
        <w:rPr>
          <w:sz w:val="20"/>
        </w:rPr>
        <w:t>Pristúpenie Č</w:t>
      </w:r>
      <w:r w:rsidR="00313333">
        <w:rPr>
          <w:sz w:val="20"/>
        </w:rPr>
        <w:t>R, Estónska ....a Slovenska, Ú.</w:t>
      </w:r>
      <w:r w:rsidR="006C58F9">
        <w:rPr>
          <w:sz w:val="20"/>
        </w:rPr>
        <w:t xml:space="preserve">v. C 227 z 23.9.2003, </w:t>
      </w:r>
      <w:r>
        <w:rPr>
          <w:sz w:val="20"/>
        </w:rPr>
        <w:t xml:space="preserve">Príloha II, bod 1 </w:t>
      </w:r>
      <w:r w:rsidR="003F554A">
        <w:rPr>
          <w:sz w:val="20"/>
        </w:rPr>
        <w:t>písm. I</w:t>
      </w:r>
      <w:r>
        <w:rPr>
          <w:sz w:val="20"/>
        </w:rPr>
        <w:t>) Verejné obstarávanie (</w:t>
      </w:r>
      <w:r w:rsidR="006C58F9">
        <w:rPr>
          <w:sz w:val="20"/>
        </w:rPr>
        <w:t xml:space="preserve">vo formáte PDF od str. 18). </w:t>
      </w:r>
    </w:p>
    <w:p w:rsidR="00847786" w:rsidRDefault="00847786">
      <w:pPr>
        <w:jc w:val="both"/>
        <w:rPr>
          <w:sz w:val="20"/>
        </w:rPr>
      </w:pPr>
      <w:r>
        <w:rPr>
          <w:vertAlign w:val="superscript"/>
        </w:rPr>
        <w:t xml:space="preserve">**) </w:t>
      </w:r>
      <w:r>
        <w:rPr>
          <w:sz w:val="20"/>
        </w:rPr>
        <w:t xml:space="preserve"> Pozri na </w:t>
      </w:r>
      <w:hyperlink r:id="rId7" w:history="1">
        <w:r>
          <w:rPr>
            <w:rStyle w:val="Hypertextovprepojenie"/>
            <w:sz w:val="20"/>
          </w:rPr>
          <w:t>www.wto.org</w:t>
        </w:r>
      </w:hyperlink>
      <w:r>
        <w:rPr>
          <w:sz w:val="20"/>
        </w:rPr>
        <w:t xml:space="preserve"> v sekcii </w:t>
      </w:r>
      <w:r w:rsidR="003F554A">
        <w:rPr>
          <w:i/>
          <w:iCs/>
          <w:sz w:val="20"/>
        </w:rPr>
        <w:t>Tade</w:t>
      </w:r>
      <w:r>
        <w:rPr>
          <w:i/>
          <w:iCs/>
          <w:sz w:val="20"/>
        </w:rPr>
        <w:t xml:space="preserve"> Topics/</w:t>
      </w:r>
      <w:r w:rsidR="00466B66">
        <w:rPr>
          <w:i/>
          <w:iCs/>
          <w:sz w:val="20"/>
        </w:rPr>
        <w:t>Other Topics/</w:t>
      </w:r>
      <w:r>
        <w:rPr>
          <w:i/>
          <w:iCs/>
          <w:sz w:val="20"/>
        </w:rPr>
        <w:t>Government Procurement</w:t>
      </w:r>
      <w:r>
        <w:rPr>
          <w:sz w:val="20"/>
        </w:rPr>
        <w:t>, Dodatok (Apendix) I ku GPA.</w:t>
      </w:r>
    </w:p>
    <w:p w:rsidR="00847786" w:rsidRDefault="00847786">
      <w:pPr>
        <w:jc w:val="both"/>
        <w:rPr>
          <w:sz w:val="20"/>
        </w:rPr>
      </w:pPr>
      <w:r>
        <w:rPr>
          <w:vertAlign w:val="superscript"/>
        </w:rPr>
        <w:t xml:space="preserve">***) </w:t>
      </w:r>
      <w:r>
        <w:rPr>
          <w:sz w:val="20"/>
        </w:rPr>
        <w:t xml:space="preserve">Obstarávatelia podľa § </w:t>
      </w:r>
      <w:r w:rsidR="00CC1317">
        <w:rPr>
          <w:sz w:val="20"/>
        </w:rPr>
        <w:t>8</w:t>
      </w:r>
      <w:r>
        <w:rPr>
          <w:sz w:val="20"/>
        </w:rPr>
        <w:t xml:space="preserve"> zákona č. </w:t>
      </w:r>
      <w:r w:rsidR="00CC1317">
        <w:rPr>
          <w:sz w:val="20"/>
        </w:rPr>
        <w:t>2</w:t>
      </w:r>
      <w:r>
        <w:rPr>
          <w:sz w:val="20"/>
        </w:rPr>
        <w:t>5/200</w:t>
      </w:r>
      <w:r w:rsidR="00CC1317">
        <w:rPr>
          <w:sz w:val="20"/>
        </w:rPr>
        <w:t>6</w:t>
      </w:r>
      <w:r>
        <w:rPr>
          <w:sz w:val="20"/>
        </w:rPr>
        <w:t xml:space="preserve"> Z. z. („prirodzené monopoly“</w:t>
      </w:r>
      <w:r w:rsidR="00CC1317">
        <w:rPr>
          <w:sz w:val="20"/>
        </w:rPr>
        <w:t>)</w:t>
      </w:r>
      <w:r>
        <w:rPr>
          <w:sz w:val="20"/>
        </w:rPr>
        <w:t>;</w:t>
      </w:r>
      <w:r w:rsidR="00CC1317">
        <w:rPr>
          <w:sz w:val="20"/>
        </w:rPr>
        <w:t xml:space="preserve"> však </w:t>
      </w:r>
      <w:r>
        <w:rPr>
          <w:sz w:val="20"/>
        </w:rPr>
        <w:t xml:space="preserve">pod režim GPA spadajú len </w:t>
      </w:r>
      <w:r w:rsidR="00CC1317">
        <w:rPr>
          <w:sz w:val="20"/>
        </w:rPr>
        <w:t xml:space="preserve">vtedy, ak </w:t>
      </w:r>
      <w:r>
        <w:rPr>
          <w:sz w:val="20"/>
        </w:rPr>
        <w:t xml:space="preserve"> sú </w:t>
      </w:r>
      <w:r>
        <w:rPr>
          <w:b/>
          <w:bCs/>
          <w:sz w:val="20"/>
        </w:rPr>
        <w:t>verejnými</w:t>
      </w:r>
      <w:r>
        <w:rPr>
          <w:sz w:val="20"/>
        </w:rPr>
        <w:t xml:space="preserve"> „prirodzenými monopolmi“, t. j. podľa § </w:t>
      </w:r>
      <w:r w:rsidR="00CC1317">
        <w:rPr>
          <w:sz w:val="20"/>
        </w:rPr>
        <w:t>8</w:t>
      </w:r>
      <w:r>
        <w:rPr>
          <w:sz w:val="20"/>
        </w:rPr>
        <w:t xml:space="preserve"> ods. 1 písm. a) až b). </w:t>
      </w:r>
    </w:p>
    <w:p w:rsidR="00847786" w:rsidRDefault="00847786">
      <w:pPr>
        <w:jc w:val="both"/>
        <w:rPr>
          <w:i/>
          <w:iCs/>
          <w:sz w:val="20"/>
        </w:rPr>
      </w:pPr>
      <w:r>
        <w:rPr>
          <w:sz w:val="20"/>
        </w:rPr>
        <w:t>______________________________________________</w:t>
      </w:r>
      <w:r>
        <w:rPr>
          <w:sz w:val="20"/>
        </w:rPr>
        <w:br/>
      </w:r>
      <w:r>
        <w:rPr>
          <w:i/>
          <w:iCs/>
          <w:sz w:val="20"/>
        </w:rPr>
        <w:t>Spracované s použitím podkladov GR Vnútorný trh – EK</w:t>
      </w:r>
      <w:r w:rsidR="000E7EE4">
        <w:rPr>
          <w:i/>
          <w:iCs/>
          <w:sz w:val="20"/>
        </w:rPr>
        <w:t xml:space="preserve"> </w:t>
      </w:r>
      <w:r>
        <w:rPr>
          <w:i/>
          <w:iCs/>
          <w:sz w:val="20"/>
        </w:rPr>
        <w:t>.</w:t>
      </w:r>
      <w:r w:rsidR="000E7EE4">
        <w:rPr>
          <w:i/>
          <w:iCs/>
          <w:sz w:val="20"/>
        </w:rPr>
        <w:t>a WTO</w:t>
      </w:r>
    </w:p>
    <w:p w:rsidR="000E7EE4" w:rsidRDefault="000E7EE4">
      <w:pPr>
        <w:jc w:val="both"/>
        <w:rPr>
          <w:i/>
          <w:iCs/>
          <w:sz w:val="20"/>
        </w:rPr>
      </w:pPr>
    </w:p>
    <w:p w:rsidR="000E7EE4" w:rsidRDefault="000E7EE4">
      <w:pPr>
        <w:jc w:val="both"/>
        <w:rPr>
          <w:i/>
          <w:iCs/>
          <w:sz w:val="20"/>
        </w:rPr>
      </w:pPr>
    </w:p>
    <w:p w:rsidR="00651046" w:rsidRPr="00651046" w:rsidRDefault="000E7EE4">
      <w:pPr>
        <w:jc w:val="both"/>
        <w:rPr>
          <w:b/>
          <w:i/>
          <w:iCs/>
        </w:rPr>
      </w:pPr>
      <w:r w:rsidRPr="00651046">
        <w:rPr>
          <w:b/>
          <w:i/>
          <w:iCs/>
        </w:rPr>
        <w:t>Poznámky:</w:t>
      </w:r>
    </w:p>
    <w:p w:rsidR="000E7EE4" w:rsidRDefault="000E7EE4">
      <w:pPr>
        <w:jc w:val="both"/>
        <w:rPr>
          <w:iCs/>
        </w:rPr>
      </w:pPr>
      <w:r>
        <w:rPr>
          <w:iCs/>
        </w:rPr>
        <w:t>1) Číselné hodnoty limitov v EUR sú prevzaté z Nariadenia Komisie (ES) č. 1422/2007 zo</w:t>
      </w:r>
      <w:r w:rsidR="00651046">
        <w:rPr>
          <w:iCs/>
        </w:rPr>
        <w:t xml:space="preserve"> 4. 12. </w:t>
      </w:r>
      <w:r>
        <w:rPr>
          <w:iCs/>
        </w:rPr>
        <w:t xml:space="preserve">2007 a mali by platiť do konca roku 2009. Hodnoty </w:t>
      </w:r>
      <w:r w:rsidR="00651046">
        <w:rPr>
          <w:iCs/>
        </w:rPr>
        <w:t xml:space="preserve">v SDR sú prevzaté z dokumentu WTO č. GPA/W/299/Add. 4 z 29. 1. 2008, ktorý je možné vyhľadať na stránke </w:t>
      </w:r>
      <w:hyperlink r:id="rId8" w:history="1">
        <w:r w:rsidR="00651046" w:rsidRPr="00392993">
          <w:rPr>
            <w:rStyle w:val="Hypertextovprepojenie"/>
            <w:iCs/>
          </w:rPr>
          <w:t>www.wto.org</w:t>
        </w:r>
      </w:hyperlink>
      <w:r w:rsidR="00651046">
        <w:rPr>
          <w:iCs/>
        </w:rPr>
        <w:t xml:space="preserve">. </w:t>
      </w:r>
    </w:p>
    <w:p w:rsidR="00651046" w:rsidRDefault="00651046">
      <w:pPr>
        <w:jc w:val="both"/>
        <w:rPr>
          <w:iCs/>
        </w:rPr>
      </w:pPr>
    </w:p>
    <w:p w:rsidR="000E7EE4" w:rsidRPr="000E7EE4" w:rsidRDefault="00651046">
      <w:pPr>
        <w:jc w:val="both"/>
      </w:pPr>
      <w:r>
        <w:rPr>
          <w:iCs/>
        </w:rPr>
        <w:t>2</w:t>
      </w:r>
      <w:r w:rsidR="000E7EE4">
        <w:rPr>
          <w:iCs/>
        </w:rPr>
        <w:t>) K telekomunikačným službám: tieto sú vyňaté z pôsobnosti GPA a podstate aj z pôsobnosti komunitárnych smerníc verejného obstarávania, a tým aj z pôsobnosti zákona č. 25/2006 Z. z., pozri však prílohu č. 2, kategória 5 zákona č. 25/2006 Z. z., ako aj smernicu 2004/17/ES, príloha XVII A, kategória 5 a smernicu 2004/18/ES, príloha II A, kategória 5 (prioritné služby).</w:t>
      </w:r>
      <w:r w:rsidR="005C322C">
        <w:t xml:space="preserve"> To znamená, že subjekty prevádzkujúce tieto služby, pokiaľ je trh plne liberalizovaný, nemusia obstarávať podľa zákona/smerníc. Na druhej strane ostatní verejní obstarávatelia a obstarávatelia, ktorí chcú tieto služby obstarať pre vlastné využitie, by mali postupovať takými postupmi verejného obstarávania, ktoré zákon stanovuje pre prioritné služby. </w:t>
      </w:r>
    </w:p>
    <w:sectPr w:rsidR="000E7EE4" w:rsidRPr="000E7EE4">
      <w:headerReference w:type="even" r:id="rId9"/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01EE" w:rsidRDefault="002B01EE">
      <w:r>
        <w:separator/>
      </w:r>
    </w:p>
  </w:endnote>
  <w:endnote w:type="continuationSeparator" w:id="0">
    <w:p w:rsidR="002B01EE" w:rsidRDefault="002B0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01EE" w:rsidRDefault="002B01EE">
      <w:r>
        <w:separator/>
      </w:r>
    </w:p>
  </w:footnote>
  <w:footnote w:type="continuationSeparator" w:id="0">
    <w:p w:rsidR="002B01EE" w:rsidRDefault="002B01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37DE" w:rsidRDefault="002737DE" w:rsidP="003C1E29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2737DE" w:rsidRDefault="002737DE" w:rsidP="002737DE">
    <w:pPr>
      <w:pStyle w:val="Hlavika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37DE" w:rsidRDefault="002737DE" w:rsidP="003C1E29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9736DB">
      <w:rPr>
        <w:rStyle w:val="slostrany"/>
        <w:noProof/>
      </w:rPr>
      <w:t>2</w:t>
    </w:r>
    <w:r>
      <w:rPr>
        <w:rStyle w:val="slostrany"/>
      </w:rPr>
      <w:fldChar w:fldCharType="end"/>
    </w:r>
  </w:p>
  <w:p w:rsidR="002737DE" w:rsidRDefault="002737DE" w:rsidP="002737DE">
    <w:pPr>
      <w:pStyle w:val="Hlavika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cryptProviderType="rsaAES" w:cryptAlgorithmClass="hash" w:cryptAlgorithmType="typeAny" w:cryptAlgorithmSid="14" w:cryptSpinCount="100000" w:hash="wFFRo51WoM84nkrVLIAPtxnoUt6p6RD4sDnFSAa3xVjoi+Lhr0fw8jUhykb5oKAuWZGlubfJRMshW+AUUoqvNw==" w:salt="0Nf5mc5fi7iheMlbqOeODQ==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487"/>
    <w:rsid w:val="00011F67"/>
    <w:rsid w:val="000C633D"/>
    <w:rsid w:val="000E33DE"/>
    <w:rsid w:val="000E7EE4"/>
    <w:rsid w:val="00106A13"/>
    <w:rsid w:val="002737DE"/>
    <w:rsid w:val="002B01EE"/>
    <w:rsid w:val="00313333"/>
    <w:rsid w:val="0034048F"/>
    <w:rsid w:val="003C1E29"/>
    <w:rsid w:val="003F554A"/>
    <w:rsid w:val="004215AF"/>
    <w:rsid w:val="00446C1E"/>
    <w:rsid w:val="00466B66"/>
    <w:rsid w:val="005C322C"/>
    <w:rsid w:val="00605146"/>
    <w:rsid w:val="00651046"/>
    <w:rsid w:val="00674517"/>
    <w:rsid w:val="006C58F9"/>
    <w:rsid w:val="00752AC1"/>
    <w:rsid w:val="007F5CCA"/>
    <w:rsid w:val="00804994"/>
    <w:rsid w:val="00847786"/>
    <w:rsid w:val="008617CA"/>
    <w:rsid w:val="008B4425"/>
    <w:rsid w:val="009736DB"/>
    <w:rsid w:val="009B2F94"/>
    <w:rsid w:val="00CC1317"/>
    <w:rsid w:val="00D87300"/>
    <w:rsid w:val="00DB1EAB"/>
    <w:rsid w:val="00DB7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B113570-95AB-442E-A3F4-9FF55BA32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pPr>
      <w:keepNext/>
      <w:outlineLvl w:val="0"/>
    </w:pPr>
    <w:rPr>
      <w:b/>
      <w:bCs/>
    </w:rPr>
  </w:style>
  <w:style w:type="paragraph" w:styleId="Nadpis2">
    <w:name w:val="heading 2"/>
    <w:basedOn w:val="Normlny"/>
    <w:next w:val="Normlny"/>
    <w:qFormat/>
    <w:pPr>
      <w:keepNext/>
      <w:outlineLvl w:val="1"/>
    </w:pPr>
    <w:rPr>
      <w:b/>
      <w:bCs/>
      <w:u w:val="single"/>
    </w:rPr>
  </w:style>
  <w:style w:type="paragraph" w:styleId="Nadpis3">
    <w:name w:val="heading 3"/>
    <w:basedOn w:val="Normlny"/>
    <w:next w:val="Normlny"/>
    <w:qFormat/>
    <w:pPr>
      <w:keepNext/>
      <w:outlineLvl w:val="2"/>
    </w:pPr>
    <w:rPr>
      <w:b/>
      <w:bCs/>
      <w:i/>
      <w:iCs/>
    </w:rPr>
  </w:style>
  <w:style w:type="paragraph" w:styleId="Nadpis4">
    <w:name w:val="heading 4"/>
    <w:basedOn w:val="Normlny"/>
    <w:next w:val="Normlny"/>
    <w:qFormat/>
    <w:pPr>
      <w:keepNext/>
      <w:jc w:val="center"/>
      <w:outlineLvl w:val="3"/>
    </w:pPr>
    <w:rPr>
      <w:b/>
      <w:bCs/>
    </w:rPr>
  </w:style>
  <w:style w:type="character" w:default="1" w:styleId="Predvolenpsmoodseku">
    <w:name w:val="Default Paragraph Font"/>
    <w:semiHidden/>
  </w:style>
  <w:style w:type="table" w:default="1" w:styleId="Normlnatabu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semiHidden/>
  </w:style>
  <w:style w:type="character" w:styleId="Hypertextovprepojenie">
    <w:name w:val="Hyperlink"/>
    <w:basedOn w:val="Predvolenpsmoodseku"/>
    <w:rPr>
      <w:color w:val="0000FF"/>
      <w:u w:val="single"/>
    </w:rPr>
  </w:style>
  <w:style w:type="paragraph" w:styleId="Textpoznmkypodiarou">
    <w:name w:val="footnote text"/>
    <w:basedOn w:val="Normlny"/>
    <w:semiHidden/>
    <w:rsid w:val="00446C1E"/>
    <w:rPr>
      <w:sz w:val="20"/>
      <w:szCs w:val="20"/>
    </w:rPr>
  </w:style>
  <w:style w:type="character" w:styleId="Odkaznapoznmkupodiarou">
    <w:name w:val="footnote reference"/>
    <w:basedOn w:val="Predvolenpsmoodseku"/>
    <w:semiHidden/>
    <w:rsid w:val="00446C1E"/>
    <w:rPr>
      <w:vertAlign w:val="superscript"/>
    </w:rPr>
  </w:style>
  <w:style w:type="paragraph" w:styleId="Hlavika">
    <w:name w:val="header"/>
    <w:basedOn w:val="Normlny"/>
    <w:rsid w:val="002737DE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  <w:rsid w:val="002737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to.or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wto.or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ur-lex.europa.eu/sk/treaties/index.ht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2905</Characters>
  <Application>Microsoft Office Word</Application>
  <DocSecurity>4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Pomôcka </vt:lpstr>
    </vt:vector>
  </TitlesOfParts>
  <Company>uvo</Company>
  <LinksUpToDate>false</LinksUpToDate>
  <CharactersWithSpaces>3408</CharactersWithSpaces>
  <SharedDoc>false</SharedDoc>
  <HLinks>
    <vt:vector size="18" baseType="variant">
      <vt:variant>
        <vt:i4>3866744</vt:i4>
      </vt:variant>
      <vt:variant>
        <vt:i4>6</vt:i4>
      </vt:variant>
      <vt:variant>
        <vt:i4>0</vt:i4>
      </vt:variant>
      <vt:variant>
        <vt:i4>5</vt:i4>
      </vt:variant>
      <vt:variant>
        <vt:lpwstr>http://www.wto.org/</vt:lpwstr>
      </vt:variant>
      <vt:variant>
        <vt:lpwstr/>
      </vt:variant>
      <vt:variant>
        <vt:i4>3866744</vt:i4>
      </vt:variant>
      <vt:variant>
        <vt:i4>3</vt:i4>
      </vt:variant>
      <vt:variant>
        <vt:i4>0</vt:i4>
      </vt:variant>
      <vt:variant>
        <vt:i4>5</vt:i4>
      </vt:variant>
      <vt:variant>
        <vt:lpwstr>http://www.wto.org/</vt:lpwstr>
      </vt:variant>
      <vt:variant>
        <vt:lpwstr/>
      </vt:variant>
      <vt:variant>
        <vt:i4>3211326</vt:i4>
      </vt:variant>
      <vt:variant>
        <vt:i4>0</vt:i4>
      </vt:variant>
      <vt:variant>
        <vt:i4>0</vt:i4>
      </vt:variant>
      <vt:variant>
        <vt:i4>5</vt:i4>
      </vt:variant>
      <vt:variant>
        <vt:lpwstr>http://eur-lex.europa.eu/sk/treaties/index.htm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Pomôcka</dc:title>
  <dc:subject/>
  <dc:creator>hudec</dc:creator>
  <cp:keywords/>
  <dc:description/>
  <cp:lastModifiedBy>Putorakova</cp:lastModifiedBy>
  <cp:revision>2</cp:revision>
  <cp:lastPrinted>2008-11-06T13:23:00Z</cp:lastPrinted>
  <dcterms:created xsi:type="dcterms:W3CDTF">2015-07-21T10:23:00Z</dcterms:created>
  <dcterms:modified xsi:type="dcterms:W3CDTF">2015-07-21T10:23:00Z</dcterms:modified>
</cp:coreProperties>
</file>