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160"/>
        <w:jc w:val="center"/>
      </w:pPr>
      <w:r>
        <w:rPr>
          <w:rFonts w:ascii="Arial" w:hAnsi="Arial"/>
          <w:i/>
        </w:rPr>
        <w:t>Príloha č. 3 k súťažným podkladom</w:t>
      </w:r>
    </w:p>
    <w:p>
      <w:pPr>
        <w:jc w:val="center"/>
      </w:pPr>
      <w:r>
        <w:rPr>
          <w:rFonts w:ascii="Arial" w:hAnsi="Arial"/>
          <w:b/>
          <w:color w:val="1F4E78"/>
          <w:sz w:val="36"/>
        </w:rPr>
        <w:t>RÁMCOVÁ DOHODA O ZDRUŽENEJ DODÁVKE ELEKTRINY, DISTRIBÚCII ELEKTRINY A PREVZATÍ ZODPOVEDNOSTI ZA ODCHÝLKU</w:t>
      </w:r>
    </w:p>
    <w:p>
      <w:pPr>
        <w:spacing w:after="80"/>
        <w:jc w:val="center"/>
      </w:pPr>
      <w:r>
        <w:rPr>
          <w:rFonts w:ascii="Arial" w:hAnsi="Arial"/>
        </w:rPr>
        <w:t>uzatvorená v zmysle zákona č. 251/2012 Z. z. o energetike</w:t>
      </w:r>
      <w:r>
        <w:rPr>
          <w:rFonts w:ascii="Arial" w:hAnsi="Arial"/>
        </w:rPr>
        <w:t xml:space="preserve"> a o zmene a doplnení niektorých zákonov v znení neskorších predpisov</w:t>
      </w:r>
    </w:p>
    <w:p>
      <w:pPr>
        <w:spacing w:after="80"/>
        <w:jc w:val="center"/>
      </w:pPr>
    </w:p>
    <w:p>
      <w:pPr>
        <w:spacing w:after="80"/>
        <w:jc w:val="center"/>
      </w:pPr>
      <w:r>
        <w:rPr>
          <w:rFonts w:ascii="Arial" w:hAnsi="Arial"/>
        </w:rPr>
        <w:t>a zákona č. 513/1991 Zb. Obchodný zákonník v znení neskorších predpisov,</w:t>
      </w:r>
    </w:p>
    <w:p>
      <w:pPr>
        <w:spacing w:after="80"/>
        <w:jc w:val="center"/>
      </w:pPr>
      <w:r>
        <w:rPr>
          <w:rFonts w:ascii="Arial" w:hAnsi="Arial"/>
        </w:rPr>
        <w:t>podľa zákona č. 343/2015 Z. z. o verejnom obstarávaní</w:t>
      </w:r>
    </w:p>
    <w:p>
      <w:pPr>
        <w:spacing w:after="80"/>
        <w:jc w:val="center"/>
      </w:pPr>
      <w:r>
        <w:rPr>
          <w:rFonts w:ascii="Arial" w:hAnsi="Arial"/>
        </w:rPr>
        <w:t>v znení neskorších predpisov (ďalej len „ZVO")</w:t>
      </w:r>
    </w:p>
    <w:p>
      <w:pPr>
        <w:spacing w:after="80"/>
        <w:jc w:val="center"/>
      </w:pPr>
      <w:r>
        <w:rPr>
          <w:rFonts w:ascii="Arial" w:hAnsi="Arial"/>
          <w:i/>
        </w:rPr>
        <w:t>(ďalej len „Rámcová dohoda")</w:t>
      </w:r>
    </w:p>
    <w:p>
      <w:r>
        <w:br w:type="page"/>
      </w:r>
    </w:p>
    <w:p>
      <w:pPr>
        <w:spacing w:before="160" w:after="60"/>
      </w:pPr>
      <w:r>
        <w:rPr>
          <w:rFonts w:ascii="Arial" w:hAnsi="Arial"/>
          <w:b/>
          <w:color w:val="2E75B6"/>
          <w:sz w:val="24"/>
        </w:rPr>
        <w:t>ZMLUVNÉ STRANY</w:t>
      </w:r>
    </w:p>
    <w:p>
      <w:pPr>
        <w:spacing w:after="80"/>
        <w:jc w:val="both"/>
      </w:pPr>
      <w:r>
        <w:rPr>
          <w:rFonts w:ascii="Arial" w:hAnsi="Arial"/>
          <w:b/>
        </w:rPr>
        <w:t>DODÁVATEĽ:</w:t>
      </w:r>
    </w:p>
    <w:tbl>
      <w:tblPr>
        <w:tblStyle w:val="LightGrid-Accent1"/>
        <w:tblW w:type="auto" w:w="0"/>
        <w:tblLook w:firstColumn="1" w:firstRow="1" w:lastColumn="0" w:lastRow="0" w:noHBand="0" w:noVBand="1" w:val="04A0"/>
      </w:tblPr>
      <w:tblGrid>
        <w:gridCol w:w="5043"/>
        <w:gridCol w:w="5043"/>
      </w:tblGrid>
      <w:tr>
        <w:tc>
          <w:tcPr>
            <w:tcW w:type="dxa" w:w="2835"/>
          </w:tcPr>
          <w:p>
            <w:r/>
            <w:r>
              <w:rPr>
                <w:rFonts w:ascii="Arial" w:hAnsi="Arial"/>
                <w:b/>
              </w:rPr>
              <w:t>Obchodné meno:</w:t>
            </w:r>
          </w:p>
        </w:tc>
        <w:tc>
          <w:tcPr>
            <w:tcW w:type="dxa" w:w="6236"/>
          </w:tcPr>
          <w:p>
            <w:r/>
            <w:r>
              <w:rPr>
                <w:rFonts w:ascii="Arial" w:hAnsi="Arial"/>
              </w:rPr>
              <w:t>[doplní úspešný uchádzač]</w:t>
            </w:r>
          </w:p>
        </w:tc>
      </w:tr>
      <w:tr>
        <w:tc>
          <w:tcPr>
            <w:tcW w:type="dxa" w:w="2835"/>
          </w:tcPr>
          <w:p>
            <w:r/>
            <w:r>
              <w:rPr>
                <w:rFonts w:ascii="Arial" w:hAnsi="Arial"/>
                <w:b/>
              </w:rPr>
              <w:t>Sídlo:</w:t>
            </w:r>
          </w:p>
        </w:tc>
        <w:tc>
          <w:tcPr>
            <w:tcW w:type="dxa" w:w="6236"/>
          </w:tcPr>
          <w:p>
            <w:r/>
            <w:r>
              <w:rPr>
                <w:rFonts w:ascii="Arial" w:hAnsi="Arial"/>
              </w:rPr>
              <w:t>[doplní úspešný uchádzač]</w:t>
            </w:r>
          </w:p>
        </w:tc>
      </w:tr>
      <w:tr>
        <w:tc>
          <w:tcPr>
            <w:tcW w:type="dxa" w:w="2835"/>
          </w:tcPr>
          <w:p>
            <w:r/>
            <w:r>
              <w:rPr>
                <w:rFonts w:ascii="Arial" w:hAnsi="Arial"/>
                <w:b/>
              </w:rPr>
              <w:t>Právna forma:</w:t>
            </w:r>
          </w:p>
        </w:tc>
        <w:tc>
          <w:tcPr>
            <w:tcW w:type="dxa" w:w="6236"/>
          </w:tcPr>
          <w:p>
            <w:r/>
            <w:r>
              <w:rPr>
                <w:rFonts w:ascii="Arial" w:hAnsi="Arial"/>
              </w:rPr>
              <w:t>[doplní úspešný uchádzač]</w:t>
            </w:r>
          </w:p>
        </w:tc>
      </w:tr>
      <w:tr>
        <w:tc>
          <w:tcPr>
            <w:tcW w:type="dxa" w:w="2835"/>
          </w:tcPr>
          <w:p>
            <w:r/>
            <w:r>
              <w:rPr>
                <w:rFonts w:ascii="Arial" w:hAnsi="Arial"/>
                <w:b/>
              </w:rPr>
              <w:t>Registrácia:</w:t>
            </w:r>
          </w:p>
        </w:tc>
        <w:tc>
          <w:tcPr>
            <w:tcW w:type="dxa" w:w="6236"/>
          </w:tcPr>
          <w:p>
            <w:r/>
            <w:r>
              <w:rPr>
                <w:rFonts w:ascii="Arial" w:hAnsi="Arial"/>
              </w:rPr>
              <w:t>[doplní úspešný uchádzač – OR alebo iný register]</w:t>
            </w:r>
          </w:p>
        </w:tc>
      </w:tr>
      <w:tr>
        <w:tc>
          <w:tcPr>
            <w:tcW w:type="dxa" w:w="2835"/>
          </w:tcPr>
          <w:p>
            <w:r/>
            <w:r>
              <w:rPr>
                <w:rFonts w:ascii="Arial" w:hAnsi="Arial"/>
                <w:b/>
              </w:rPr>
              <w:t>V zastúpení:</w:t>
            </w:r>
          </w:p>
        </w:tc>
        <w:tc>
          <w:tcPr>
            <w:tcW w:type="dxa" w:w="6236"/>
          </w:tcPr>
          <w:p>
            <w:r/>
            <w:r>
              <w:rPr>
                <w:rFonts w:ascii="Arial" w:hAnsi="Arial"/>
              </w:rPr>
              <w:t>[doplní úspešný uchádzač]</w:t>
            </w:r>
          </w:p>
        </w:tc>
      </w:tr>
      <w:tr>
        <w:tc>
          <w:tcPr>
            <w:tcW w:type="dxa" w:w="2835"/>
          </w:tcPr>
          <w:p>
            <w:r/>
            <w:r>
              <w:rPr>
                <w:rFonts w:ascii="Arial" w:hAnsi="Arial"/>
                <w:b/>
              </w:rPr>
              <w:t>IČO:</w:t>
            </w:r>
          </w:p>
        </w:tc>
        <w:tc>
          <w:tcPr>
            <w:tcW w:type="dxa" w:w="6236"/>
          </w:tcPr>
          <w:p>
            <w:r/>
            <w:r>
              <w:rPr>
                <w:rFonts w:ascii="Arial" w:hAnsi="Arial"/>
              </w:rPr>
              <w:t>[doplní úspešný uchádzač]</w:t>
            </w:r>
          </w:p>
        </w:tc>
      </w:tr>
      <w:tr>
        <w:tc>
          <w:tcPr>
            <w:tcW w:type="dxa" w:w="2835"/>
          </w:tcPr>
          <w:p>
            <w:r/>
            <w:r>
              <w:rPr>
                <w:rFonts w:ascii="Arial" w:hAnsi="Arial"/>
                <w:b/>
              </w:rPr>
              <w:t>DIČ:</w:t>
            </w:r>
          </w:p>
        </w:tc>
        <w:tc>
          <w:tcPr>
            <w:tcW w:type="dxa" w:w="6236"/>
          </w:tcPr>
          <w:p>
            <w:r/>
            <w:r>
              <w:rPr>
                <w:rFonts w:ascii="Arial" w:hAnsi="Arial"/>
              </w:rPr>
              <w:t>[doplní úspešný uchádzač]</w:t>
            </w:r>
          </w:p>
        </w:tc>
      </w:tr>
      <w:tr>
        <w:tc>
          <w:tcPr>
            <w:tcW w:type="dxa" w:w="2835"/>
          </w:tcPr>
          <w:p>
            <w:r/>
            <w:r>
              <w:rPr>
                <w:rFonts w:ascii="Arial" w:hAnsi="Arial"/>
                <w:b/>
              </w:rPr>
              <w:t>IČ DPH:</w:t>
            </w:r>
          </w:p>
        </w:tc>
        <w:tc>
          <w:tcPr>
            <w:tcW w:type="dxa" w:w="6236"/>
          </w:tcPr>
          <w:p>
            <w:r/>
            <w:r>
              <w:rPr>
                <w:rFonts w:ascii="Arial" w:hAnsi="Arial"/>
              </w:rPr>
              <w:t>[doplní úspešný uchádzač]</w:t>
            </w:r>
          </w:p>
        </w:tc>
      </w:tr>
      <w:tr>
        <w:tc>
          <w:tcPr>
            <w:tcW w:type="dxa" w:w="2835"/>
          </w:tcPr>
          <w:p>
            <w:r/>
            <w:r>
              <w:rPr>
                <w:rFonts w:ascii="Arial" w:hAnsi="Arial"/>
                <w:b/>
              </w:rPr>
              <w:t>Bankové spojenie:</w:t>
            </w:r>
          </w:p>
        </w:tc>
        <w:tc>
          <w:tcPr>
            <w:tcW w:type="dxa" w:w="6236"/>
          </w:tcPr>
          <w:p>
            <w:r/>
            <w:r>
              <w:rPr>
                <w:rFonts w:ascii="Arial" w:hAnsi="Arial"/>
              </w:rPr>
              <w:t>[doplní úspešný uchádzač]</w:t>
            </w:r>
          </w:p>
        </w:tc>
      </w:tr>
      <w:tr>
        <w:tc>
          <w:tcPr>
            <w:tcW w:type="dxa" w:w="2835"/>
          </w:tcPr>
          <w:p>
            <w:r/>
            <w:r>
              <w:rPr>
                <w:rFonts w:ascii="Arial" w:hAnsi="Arial"/>
                <w:b/>
              </w:rPr>
              <w:t>IBAN:</w:t>
            </w:r>
          </w:p>
        </w:tc>
        <w:tc>
          <w:tcPr>
            <w:tcW w:type="dxa" w:w="6236"/>
          </w:tcPr>
          <w:p>
            <w:r/>
            <w:r>
              <w:rPr>
                <w:rFonts w:ascii="Arial" w:hAnsi="Arial"/>
              </w:rPr>
              <w:t>[doplní úspešný uchádzač]</w:t>
            </w:r>
          </w:p>
        </w:tc>
      </w:tr>
      <w:tr>
        <w:tc>
          <w:tcPr>
            <w:tcW w:type="dxa" w:w="2835"/>
          </w:tcPr>
          <w:p>
            <w:r/>
            <w:r>
              <w:rPr>
                <w:rFonts w:ascii="Arial" w:hAnsi="Arial"/>
                <w:b/>
              </w:rPr>
              <w:t>Kontaktná osoba:</w:t>
            </w:r>
          </w:p>
        </w:tc>
        <w:tc>
          <w:tcPr>
            <w:tcW w:type="dxa" w:w="6236"/>
          </w:tcPr>
          <w:p>
            <w:r/>
            <w:r>
              <w:rPr>
                <w:rFonts w:ascii="Arial" w:hAnsi="Arial"/>
              </w:rPr>
              <w:t>[doplní úspešný uchádzač]</w:t>
            </w:r>
          </w:p>
        </w:tc>
      </w:tr>
      <w:tr>
        <w:tc>
          <w:tcPr>
            <w:tcW w:type="dxa" w:w="2835"/>
          </w:tcPr>
          <w:p>
            <w:r/>
            <w:r>
              <w:rPr>
                <w:rFonts w:ascii="Arial" w:hAnsi="Arial"/>
                <w:b/>
              </w:rPr>
              <w:t>Kontaktný e-mail:</w:t>
            </w:r>
          </w:p>
        </w:tc>
        <w:tc>
          <w:tcPr>
            <w:tcW w:type="dxa" w:w="6236"/>
          </w:tcPr>
          <w:p>
            <w:r/>
            <w:r>
              <w:rPr>
                <w:rFonts w:ascii="Arial" w:hAnsi="Arial"/>
              </w:rPr>
              <w:t>[doplní úspešný uchádzač]</w:t>
            </w:r>
          </w:p>
        </w:tc>
      </w:tr>
      <w:tr>
        <w:tc>
          <w:tcPr>
            <w:tcW w:type="dxa" w:w="2835"/>
          </w:tcPr>
          <w:p>
            <w:r/>
            <w:r>
              <w:rPr>
                <w:rFonts w:ascii="Arial" w:hAnsi="Arial"/>
                <w:b/>
              </w:rPr>
              <w:t>Telefón:</w:t>
            </w:r>
          </w:p>
        </w:tc>
        <w:tc>
          <w:tcPr>
            <w:tcW w:type="dxa" w:w="6236"/>
          </w:tcPr>
          <w:p>
            <w:r/>
            <w:r>
              <w:rPr>
                <w:rFonts w:ascii="Arial" w:hAnsi="Arial"/>
              </w:rPr>
              <w:t>[doplní úspešný uchádzač]</w:t>
            </w:r>
          </w:p>
        </w:tc>
      </w:tr>
      <w:tr>
        <w:tc>
          <w:tcPr>
            <w:tcW w:type="dxa" w:w="2835"/>
          </w:tcPr>
          <w:p>
            <w:r/>
            <w:r>
              <w:rPr>
                <w:rFonts w:ascii="Arial" w:hAnsi="Arial"/>
                <w:b/>
              </w:rPr>
              <w:t>Číslo licencie ÚRSO:</w:t>
            </w:r>
          </w:p>
        </w:tc>
        <w:tc>
          <w:tcPr>
            <w:tcW w:type="dxa" w:w="6236"/>
          </w:tcPr>
          <w:p>
            <w:r/>
            <w:r>
              <w:rPr>
                <w:rFonts w:ascii="Arial" w:hAnsi="Arial"/>
              </w:rPr>
              <w:t>[doplní úspešný uchádzač – Príloha č. 6]</w:t>
            </w:r>
          </w:p>
        </w:tc>
      </w:tr>
    </w:tbl>
    <w:p>
      <w:pPr>
        <w:spacing w:after="80"/>
        <w:jc w:val="center"/>
      </w:pPr>
      <w:r>
        <w:rPr>
          <w:rFonts w:ascii="Arial" w:hAnsi="Arial"/>
          <w:i/>
        </w:rPr>
        <w:t>(ďalej len „Dodávateľ")</w:t>
      </w:r>
    </w:p>
    <w:p>
      <w:pPr>
        <w:spacing w:after="80"/>
        <w:jc w:val="both"/>
      </w:pPr>
      <w:r>
        <w:rPr>
          <w:rFonts w:ascii="Arial" w:hAnsi="Arial"/>
          <w:b/>
        </w:rPr>
        <w:t>ODBERATEĽ:</w:t>
      </w:r>
    </w:p>
    <w:tbl>
      <w:tblPr>
        <w:tblStyle w:val="LightGrid-Accent1"/>
        <w:tblW w:type="auto" w:w="0"/>
        <w:tblLook w:firstColumn="1" w:firstRow="1" w:lastColumn="0" w:lastRow="0" w:noHBand="0" w:noVBand="1" w:val="04A0"/>
      </w:tblPr>
      <w:tblGrid>
        <w:gridCol w:w="5043"/>
        <w:gridCol w:w="5043"/>
      </w:tblGrid>
      <w:tr>
        <w:tc>
          <w:tcPr>
            <w:tcW w:type="dxa" w:w="2835"/>
          </w:tcPr>
          <w:p>
            <w:r/>
            <w:r>
              <w:rPr>
                <w:rFonts w:ascii="Arial" w:hAnsi="Arial"/>
                <w:b/>
              </w:rPr>
              <w:t>Obchodné meno:</w:t>
            </w:r>
          </w:p>
        </w:tc>
        <w:tc>
          <w:tcPr>
            <w:tcW w:type="dxa" w:w="6236"/>
          </w:tcPr>
          <w:p>
            <w:r/>
            <w:r>
              <w:rPr>
                <w:rFonts w:ascii="Arial" w:hAnsi="Arial"/>
                <w:sz w:val="20"/>
              </w:rPr>
              <w:t>Mesto Púchov</w:t>
            </w:r>
          </w:p>
        </w:tc>
      </w:tr>
      <w:tr>
        <w:tc>
          <w:tcPr>
            <w:tcW w:type="dxa" w:w="2835"/>
          </w:tcPr>
          <w:p>
            <w:r/>
            <w:r>
              <w:rPr>
                <w:rFonts w:ascii="Arial" w:hAnsi="Arial"/>
                <w:b/>
              </w:rPr>
              <w:t>Sídlo:</w:t>
            </w:r>
          </w:p>
        </w:tc>
        <w:tc>
          <w:tcPr>
            <w:tcW w:type="dxa" w:w="6236"/>
          </w:tcPr>
          <w:p>
            <w:r/>
            <w:r>
              <w:rPr>
                <w:rFonts w:ascii="Arial" w:hAnsi="Arial"/>
                <w:sz w:val="20"/>
              </w:rPr>
              <w:t>Štefánikova 821/21, 020 01 Púchov</w:t>
            </w:r>
          </w:p>
        </w:tc>
      </w:tr>
      <w:tr>
        <w:tc>
          <w:tcPr>
            <w:tcW w:type="dxa" w:w="2835"/>
          </w:tcPr>
          <w:p>
            <w:r/>
            <w:r>
              <w:rPr>
                <w:rFonts w:ascii="Arial" w:hAnsi="Arial"/>
                <w:b/>
              </w:rPr>
              <w:t>Právna forma:</w:t>
            </w:r>
          </w:p>
        </w:tc>
        <w:tc>
          <w:tcPr>
            <w:tcW w:type="dxa" w:w="6236"/>
          </w:tcPr>
          <w:p>
            <w:r/>
            <w:r>
              <w:rPr>
                <w:rFonts w:ascii="Arial" w:hAnsi="Arial"/>
                <w:sz w:val="20"/>
              </w:rPr>
              <w:t>obec (samostatný územný samosprávny celok)</w:t>
            </w:r>
          </w:p>
        </w:tc>
      </w:tr>
      <w:tr>
        <w:tc>
          <w:tcPr>
            <w:tcW w:type="dxa" w:w="2835"/>
          </w:tcPr>
          <w:p>
            <w:r/>
            <w:r>
              <w:rPr>
                <w:rFonts w:ascii="Arial" w:hAnsi="Arial"/>
                <w:b/>
              </w:rPr>
              <w:t>V zastúpení:</w:t>
            </w:r>
          </w:p>
        </w:tc>
        <w:tc>
          <w:tcPr>
            <w:tcW w:type="dxa" w:w="6236"/>
          </w:tcPr>
          <w:p>
            <w:r/>
            <w:r>
              <w:rPr>
                <w:rFonts w:ascii="Arial" w:hAnsi="Arial"/>
                <w:sz w:val="20"/>
              </w:rPr>
              <w:t>JUDr. Katarína Heneková, M. B. A., primátorka mesta</w:t>
            </w:r>
          </w:p>
        </w:tc>
      </w:tr>
      <w:tr>
        <w:tc>
          <w:tcPr>
            <w:tcW w:type="dxa" w:w="2835"/>
          </w:tcPr>
          <w:p>
            <w:r/>
            <w:r>
              <w:rPr>
                <w:rFonts w:ascii="Arial" w:hAnsi="Arial"/>
                <w:b/>
              </w:rPr>
              <w:t>IČO:</w:t>
            </w:r>
          </w:p>
        </w:tc>
        <w:tc>
          <w:tcPr>
            <w:tcW w:type="dxa" w:w="6236"/>
          </w:tcPr>
          <w:p>
            <w:r/>
            <w:r>
              <w:rPr>
                <w:rFonts w:ascii="Arial" w:hAnsi="Arial"/>
                <w:sz w:val="20"/>
              </w:rPr>
              <w:t>00 317 748</w:t>
            </w:r>
          </w:p>
        </w:tc>
      </w:tr>
      <w:tr>
        <w:tc>
          <w:tcPr>
            <w:tcW w:type="dxa" w:w="2835"/>
          </w:tcPr>
          <w:p>
            <w:r/>
            <w:r>
              <w:rPr>
                <w:rFonts w:ascii="Arial" w:hAnsi="Arial"/>
                <w:b/>
              </w:rPr>
              <w:t>DIČ:</w:t>
            </w:r>
          </w:p>
        </w:tc>
        <w:tc>
          <w:tcPr>
            <w:tcW w:type="dxa" w:w="6236"/>
          </w:tcPr>
          <w:p>
            <w:r/>
            <w:r>
              <w:rPr>
                <w:rFonts w:ascii="Arial" w:hAnsi="Arial"/>
                <w:sz w:val="20"/>
              </w:rPr>
              <w:t>2020615630</w:t>
            </w:r>
          </w:p>
        </w:tc>
      </w:tr>
      <w:tr>
        <w:tc>
          <w:tcPr>
            <w:tcW w:type="dxa" w:w="2835"/>
          </w:tcPr>
          <w:p>
            <w:r/>
            <w:r>
              <w:rPr>
                <w:rFonts w:ascii="Arial" w:hAnsi="Arial"/>
                <w:b/>
              </w:rPr>
              <w:t>IČ DPH:</w:t>
            </w:r>
          </w:p>
        </w:tc>
        <w:tc>
          <w:tcPr>
            <w:tcW w:type="dxa" w:w="6236"/>
          </w:tcPr>
          <w:p>
            <w:r/>
            <w:r>
              <w:rPr>
                <w:rFonts w:ascii="Arial" w:hAnsi="Arial"/>
              </w:rPr>
              <w:t>[doplniť pred zverejnením – ak je platiteľ]</w:t>
            </w:r>
          </w:p>
        </w:tc>
      </w:tr>
      <w:tr>
        <w:tc>
          <w:tcPr>
            <w:tcW w:type="dxa" w:w="2835"/>
          </w:tcPr>
          <w:p>
            <w:r/>
            <w:r>
              <w:rPr>
                <w:rFonts w:ascii="Arial" w:hAnsi="Arial"/>
                <w:b/>
              </w:rPr>
              <w:t>Bankové spojenie:</w:t>
            </w:r>
          </w:p>
        </w:tc>
        <w:tc>
          <w:tcPr>
            <w:tcW w:type="dxa" w:w="6236"/>
          </w:tcPr>
          <w:p>
            <w:r/>
            <w:r>
              <w:rPr>
                <w:rFonts w:ascii="Arial" w:hAnsi="Arial"/>
              </w:rPr>
              <w:t>[doplniť pred zverejnením – konkrétna banka]</w:t>
            </w:r>
          </w:p>
        </w:tc>
      </w:tr>
      <w:tr>
        <w:tc>
          <w:tcPr>
            <w:tcW w:type="dxa" w:w="2835"/>
          </w:tcPr>
          <w:p>
            <w:r/>
            <w:r>
              <w:rPr>
                <w:rFonts w:ascii="Arial" w:hAnsi="Arial"/>
                <w:b/>
              </w:rPr>
              <w:t>IBAN:</w:t>
            </w:r>
          </w:p>
        </w:tc>
        <w:tc>
          <w:tcPr>
            <w:tcW w:type="dxa" w:w="6236"/>
          </w:tcPr>
          <w:p>
            <w:r/>
            <w:r>
              <w:rPr>
                <w:rFonts w:ascii="Arial" w:hAnsi="Arial"/>
              </w:rPr>
              <w:t>[doplniť pred zverejnením – účet pre dodávky EE]</w:t>
            </w:r>
          </w:p>
        </w:tc>
      </w:tr>
      <w:tr>
        <w:tc>
          <w:tcPr>
            <w:tcW w:type="dxa" w:w="2835"/>
          </w:tcPr>
          <w:p>
            <w:r/>
            <w:r>
              <w:rPr>
                <w:rFonts w:ascii="Arial" w:hAnsi="Arial"/>
                <w:b/>
              </w:rPr>
              <w:t>Kontaktná osoba:</w:t>
            </w:r>
          </w:p>
        </w:tc>
        <w:tc>
          <w:tcPr>
            <w:tcW w:type="dxa" w:w="6236"/>
          </w:tcPr>
          <w:p>
            <w:r/>
            <w:r>
              <w:rPr>
                <w:rFonts w:ascii="Arial" w:hAnsi="Arial"/>
              </w:rPr>
              <w:t>[doplniť pred zverejnením – energetik mesta]</w:t>
            </w:r>
          </w:p>
        </w:tc>
      </w:tr>
      <w:tr>
        <w:tc>
          <w:tcPr>
            <w:tcW w:type="dxa" w:w="2835"/>
          </w:tcPr>
          <w:p>
            <w:r/>
            <w:r>
              <w:rPr>
                <w:rFonts w:ascii="Arial" w:hAnsi="Arial"/>
                <w:b/>
              </w:rPr>
              <w:t>Kontaktný e-mail:</w:t>
            </w:r>
          </w:p>
        </w:tc>
        <w:tc>
          <w:tcPr>
            <w:tcW w:type="dxa" w:w="6236"/>
          </w:tcPr>
          <w:p>
            <w:r/>
            <w:r>
              <w:rPr>
                <w:rFonts w:ascii="Arial" w:hAnsi="Arial"/>
              </w:rPr>
              <w:t>[meno]@puchov.sk</w:t>
            </w:r>
          </w:p>
        </w:tc>
      </w:tr>
      <w:tr>
        <w:tc>
          <w:tcPr>
            <w:tcW w:type="dxa" w:w="2835"/>
          </w:tcPr>
          <w:p>
            <w:r/>
            <w:r>
              <w:rPr>
                <w:rFonts w:ascii="Arial" w:hAnsi="Arial"/>
                <w:b/>
              </w:rPr>
              <w:t>Telefón:</w:t>
            </w:r>
          </w:p>
        </w:tc>
        <w:tc>
          <w:tcPr>
            <w:tcW w:type="dxa" w:w="6236"/>
          </w:tcPr>
          <w:p>
            <w:r/>
            <w:r>
              <w:rPr>
                <w:rFonts w:ascii="Arial" w:hAnsi="Arial"/>
              </w:rPr>
              <w:t>[doplniť pred zverejnením]</w:t>
            </w:r>
          </w:p>
        </w:tc>
      </w:tr>
    </w:tbl>
    <w:p>
      <w:pPr>
        <w:spacing w:after="80"/>
        <w:jc w:val="center"/>
      </w:pPr>
      <w:r>
        <w:rPr>
          <w:rFonts w:ascii="Arial" w:hAnsi="Arial"/>
          <w:i/>
        </w:rPr>
        <w:t>(ďalej len „Odberateľ")</w:t>
      </w:r>
    </w:p>
    <w:p>
      <w:pPr>
        <w:spacing w:after="80"/>
        <w:jc w:val="center"/>
      </w:pPr>
      <w:r>
        <w:rPr>
          <w:rFonts w:ascii="Arial" w:hAnsi="Arial"/>
          <w:i/>
        </w:rPr>
        <w:t>(Dodávateľ a Odberateľ ďalej spolu aj ako „Zmluvné strany Rámcovej dohody")</w:t>
      </w:r>
    </w:p>
    <w:p>
      <w:r>
        <w:br w:type="page"/>
      </w:r>
    </w:p>
    <w:p>
      <w:pPr>
        <w:spacing w:before="160" w:after="60"/>
      </w:pPr>
      <w:r>
        <w:rPr>
          <w:rFonts w:ascii="Arial" w:hAnsi="Arial"/>
          <w:b/>
          <w:color w:val="2E75B6"/>
          <w:sz w:val="24"/>
        </w:rPr>
        <w:t>PREAMBULA</w:t>
      </w:r>
    </w:p>
    <w:p>
      <w:pPr>
        <w:spacing w:after="40"/>
        <w:ind w:left="454" w:hanging="454"/>
        <w:jc w:val="both"/>
      </w:pPr>
      <w:r>
        <w:rPr>
          <w:rFonts w:ascii="Arial" w:hAnsi="Arial"/>
          <w:b/>
        </w:rPr>
        <w:t xml:space="preserve">1.  Splnomocnený Odberateľ ako verejný obstarávateľ realizoval príležitostné spoločné verejné obstarávanie dodávok elektriny (zákazka: „Dodávka elektrickej energie 2027 – 2028") podľa § 16 zákona č. 343/2015 Z. z. o verejnom obstarávaní v znení neskorších predpisov pre organizácie v jeho zakladateľskej a zriaďovateľskej pôsobnosti.</w:t>
      </w:r>
    </w:p>
    <w:p>
      <w:pPr>
        <w:spacing w:after="40"/>
        <w:ind w:left="454" w:hanging="454"/>
        <w:jc w:val="both"/>
      </w:pPr>
      <w:r>
        <w:rPr>
          <w:rFonts w:ascii="Arial" w:hAnsi="Arial"/>
          <w:b/>
        </w:rPr>
        <w:t xml:space="preserve">2.  Túto Rámcovú dohodu uzatvárajú Zmluvné strany Rámcovej dohody v súlade so súťažnými podkladmi a ich prílohami, v súlade s vysvetleniami súťažných podkladov a súvisiacich dokladov a dokumentov, ak k vysvetľovaniu došlo, v súlade s predloženou ponukou úspešného uchádzača, v súlade s výsledkom elektronickej aukcie a v súlade s Rozhodnutím verejného obstarávateľa o výbere úspešného uchádzača. Jednotliví Obstarávatelia uzatvoria s Dodávateľom čiastkovú zmluvu na dodávku elektrickej energie na obdobie od 01. 01. 2027 do 31. 12. 2028, pričom budú viazaní ustanoveniami tejto Rámcovej dohody v rozsahu, ktorý nie je upravený čiastkovou zmluvou.</w:t>
      </w:r>
    </w:p>
    <w:p>
      <w:r>
        <w:rPr>
          <w:rFonts w:ascii="Arial" w:hAnsi="Arial"/>
          <w:b/>
        </w:rPr>
        <w:t xml:space="preserve">3.  Verejné obstarávanie sa uskutočňuje podľa zákona č. 343/2015 Z. z. o verejnom obstarávaní v znení neskorších predpisov (ďalej len „ZVO").</w:t>
      </w:r>
    </w:p>
    <w:p>
      <w:pPr>
        <w:spacing w:after="40"/>
        <w:ind w:left="454" w:hanging="454"/>
        <w:jc w:val="both"/>
      </w:pPr>
      <w:r>
        <w:rPr>
          <w:rFonts w:ascii="Arial" w:hAnsi="Arial"/>
          <w:b/>
        </w:rPr>
        <w:t/>
      </w:r>
      <w:r>
        <w:rPr>
          <w:rFonts w:ascii="Arial" w:hAnsi="Arial"/>
          <w:b/>
        </w:rPr>
        <w:t xml:space="preserve">4</w:t>
      </w:r>
      <w:r>
        <w:rPr>
          <w:rFonts w:ascii="Arial" w:hAnsi="Arial"/>
          <w:b/>
        </w:rPr>
        <w:t xml:space="preserve">.  Zmluvné strany Rámcovej dohody konštatujú, že sa pri uzatváraní Zmluvy a jej plnení riadia zákonom č. 251/2012 Z. z. o energetike a o zmene a doplnení niektorých zákonov v znení neskorších predpisov, zákonom č. 250/2012 Z. z. o regulácii v sieťových odvetviach v znení neskorších predpisov, ako aj ďalšími všeobecne záväznými právnymi predpismi vzťahujúcimi sa na oblasť elektroenergetiky. V prípade rozporu medzi ustanoveniami Zmluvy a kogentnými ustanoveniami zákona č. 251/2012 Z. z. majú prednosť kogentné ustanovenia zákona.</w:t>
      </w:r>
      <w:r>
        <w:rPr>
          <w:rFonts w:ascii="Arial" w:hAnsi="Arial"/>
        </w:rPr>
      </w:r>
      <w:r>
        <w:rPr>
          <w:rFonts w:ascii="Arial" w:hAnsi="Arial"/>
          <w:b/>
        </w:rPr>
      </w:r>
      <w:r>
        <w:rPr>
          <w:rFonts w:ascii="Arial" w:hAnsi="Arial"/>
        </w:rPr>
      </w:r>
    </w:p>
    <w:p>
      <w:pPr>
        <w:spacing w:after="40"/>
        <w:ind w:left="454" w:hanging="454"/>
        <w:jc w:val="both"/>
      </w:pPr>
      <w:r>
        <w:rPr>
          <w:rFonts w:ascii="Arial" w:hAnsi="Arial"/>
          <w:b/>
        </w:rPr>
        <w:t/>
      </w:r>
      <w:r>
        <w:rPr>
          <w:rFonts w:ascii="Arial" w:hAnsi="Arial"/>
          <w:b/>
        </w:rPr>
        <w:t xml:space="preserve">5</w:t>
      </w:r>
      <w:r>
        <w:rPr>
          <w:rFonts w:ascii="Arial" w:hAnsi="Arial"/>
          <w:b/>
        </w:rPr>
        <w:t xml:space="preserve">.  Zmluvné strany Rámcovej dohody prehlasujú, že identifikačné údaje uvedené v záhlaví tejto Rámcovej dohody sú pravdivé, presné a úplné.</w:t>
      </w:r>
      <w:r>
        <w:rPr>
          <w:rFonts w:ascii="Arial" w:hAnsi="Arial"/>
        </w:rPr>
      </w:r>
    </w:p>
    <w:p>
      <w:pPr>
        <w:spacing w:before="280" w:after="120"/>
        <w:jc w:val="center"/>
      </w:pPr>
      <w:r>
        <w:rPr>
          <w:rFonts w:ascii="Arial" w:hAnsi="Arial"/>
          <w:b/>
          <w:color w:val="1F4E78"/>
          <w:sz w:val="30"/>
        </w:rPr>
        <w:t>Článok I.   Definované pojmy</w:t>
      </w:r>
    </w:p>
    <w:p>
      <w:pPr>
        <w:spacing w:after="80"/>
        <w:jc w:val="both"/>
      </w:pPr>
      <w:r>
        <w:rPr>
          <w:rFonts w:ascii="Arial" w:hAnsi="Arial"/>
        </w:rPr>
        <w:t>Na účely tejto Rámcovej dohody majú nižšie uvedené pojmy nasledovný význam:</w:t>
      </w:r>
    </w:p>
    <w:p>
      <w:pPr>
        <w:spacing w:after="40"/>
        <w:ind w:left="454" w:hanging="454"/>
        <w:jc w:val="both"/>
      </w:pPr>
      <w:r>
        <w:rPr>
          <w:rFonts w:ascii="Arial" w:hAnsi="Arial"/>
          <w:b/>
        </w:rPr>
        <w:t xml:space="preserve">1.  </w:t>
      </w:r>
      <w:r>
        <w:rPr>
          <w:rFonts w:ascii="Arial" w:hAnsi="Arial"/>
          <w:b/>
        </w:rPr>
        <w:t>PDS</w:t>
      </w:r>
      <w:r>
        <w:rPr>
          <w:rFonts w:ascii="Arial" w:hAnsi="Arial"/>
        </w:rPr>
        <w:t xml:space="preserve"> – Prevádzkovateľ distribučnej sústavy. Pre územie Mesta Púchov je PDS spoločnosť Stredoslovenská distribučná, a. s. (IČO 36 442 151).</w:t>
      </w:r>
    </w:p>
    <w:p>
      <w:pPr>
        <w:spacing w:after="40"/>
        <w:ind w:left="454" w:hanging="454"/>
        <w:jc w:val="both"/>
      </w:pPr>
      <w:r>
        <w:rPr>
          <w:rFonts w:ascii="Arial" w:hAnsi="Arial"/>
          <w:b/>
        </w:rPr>
        <w:t xml:space="preserve">2.  </w:t>
      </w:r>
      <w:r>
        <w:rPr>
          <w:rFonts w:ascii="Arial" w:hAnsi="Arial"/>
          <w:b/>
        </w:rPr>
        <w:t>Prevádzkový poriadok PDS</w:t>
      </w:r>
      <w:r>
        <w:rPr>
          <w:rFonts w:ascii="Arial" w:hAnsi="Arial"/>
        </w:rPr>
        <w:t xml:space="preserve"> – dokument vydaný PDS, schválený ÚRSO, ktorý určuje podmienky distribúcie elektriny a poskytovania súvisiacich sieťových služieb. Je záväzný pre všetkých účastníkov trhu s elektrinou.</w:t>
      </w:r>
    </w:p>
    <w:p>
      <w:pPr>
        <w:spacing w:after="40"/>
        <w:ind w:left="454" w:hanging="454"/>
        <w:jc w:val="both"/>
      </w:pPr>
      <w:r>
        <w:rPr>
          <w:rFonts w:ascii="Arial" w:hAnsi="Arial"/>
          <w:b/>
        </w:rPr>
        <w:t xml:space="preserve">3.  </w:t>
      </w:r>
      <w:r>
        <w:rPr>
          <w:rFonts w:ascii="Arial" w:hAnsi="Arial"/>
          <w:b/>
        </w:rPr>
        <w:t>Technické podmienky PDS</w:t>
      </w:r>
      <w:r>
        <w:rPr>
          <w:rFonts w:ascii="Arial" w:hAnsi="Arial"/>
        </w:rPr>
        <w:t xml:space="preserve"> – dokument vydaný PDS, ktorým sa ustanovujú podrobnosti technických podmienok prístupu a pripojenia do distribučnej sústavy.</w:t>
      </w:r>
    </w:p>
    <w:p>
      <w:pPr>
        <w:spacing w:after="40"/>
        <w:ind w:left="454" w:hanging="454"/>
        <w:jc w:val="both"/>
      </w:pPr>
      <w:r>
        <w:rPr>
          <w:rFonts w:ascii="Arial" w:hAnsi="Arial"/>
          <w:b/>
        </w:rPr>
        <w:t xml:space="preserve">4.  </w:t>
      </w:r>
      <w:r>
        <w:rPr>
          <w:rFonts w:ascii="Arial" w:hAnsi="Arial"/>
          <w:b/>
        </w:rPr>
        <w:t>ÚRSO</w:t>
      </w:r>
      <w:r>
        <w:rPr>
          <w:rFonts w:ascii="Arial" w:hAnsi="Arial"/>
        </w:rPr>
        <w:t xml:space="preserve"> – Úrad pre reguláciu sieťových odvetví Slovenskej republiky.</w:t>
      </w:r>
    </w:p>
    <w:p>
      <w:pPr>
        <w:spacing w:after="40"/>
        <w:ind w:left="454" w:hanging="454"/>
        <w:jc w:val="both"/>
      </w:pPr>
      <w:r>
        <w:rPr>
          <w:rFonts w:ascii="Arial" w:hAnsi="Arial"/>
          <w:b/>
        </w:rPr>
        <w:t xml:space="preserve">5.  </w:t>
      </w:r>
      <w:r>
        <w:rPr>
          <w:rFonts w:ascii="Arial" w:hAnsi="Arial"/>
          <w:b/>
        </w:rPr>
        <w:t>Odberné miesto (OM)</w:t>
      </w:r>
      <w:r>
        <w:rPr>
          <w:rFonts w:ascii="Arial" w:hAnsi="Arial"/>
        </w:rPr>
        <w:t xml:space="preserve"> – miesto odberu elektriny Odberateľa špecifikované v Prílohe č. 1 Zmluvy, vybavené určeným meradlom.</w:t>
      </w:r>
    </w:p>
    <w:p>
      <w:pPr>
        <w:spacing w:after="40"/>
        <w:ind w:left="454" w:hanging="454"/>
        <w:jc w:val="both"/>
      </w:pPr>
      <w:r>
        <w:rPr>
          <w:rFonts w:ascii="Arial" w:hAnsi="Arial"/>
          <w:b/>
        </w:rPr>
        <w:t>6.  Cenník služieb Dodávateľa – cenník služieb a výkonov vydaný Dodávateľom. Cenník služieb Dodávateľa sa NEAPLIKUJE na cenu za združenú dodávku elektriny podľa Článku IV Zmluvy. Aplikuje sa výlučne na osobitne objednané doplnkové služby, ktoré nie sú predmetom tejto Rámcovej dohody.</w:t>
      </w:r>
      <w:r>
        <w:rPr>
          <w:rFonts w:ascii="Arial" w:hAnsi="Arial"/>
          <w:b/>
        </w:rPr>
      </w:r>
      <w:r>
        <w:rPr>
          <w:rFonts w:ascii="Arial" w:hAnsi="Arial"/>
        </w:rPr>
      </w:r>
    </w:p>
    <w:p>
      <w:pPr>
        <w:spacing w:after="40"/>
        <w:ind w:left="454" w:hanging="454"/>
        <w:jc w:val="both"/>
      </w:pPr>
      <w:r>
        <w:rPr>
          <w:rFonts w:ascii="Arial" w:hAnsi="Arial"/>
          <w:b/>
        </w:rPr>
        <w:t>7.  Obchodné podmienky Dodávateľa (OP) – obchodné podmienky Dodávateľa, ktoré tvoria Prílohu č. 5 Zmluvy. V prípade rozporu medzi ustanoveniami tejto Rámcovej dohody a OP MAJÚ PREDNOSŤ ustanovenia tejto Rámcovej dohody. Dodávateľ nie je oprávnený jednostranne meniť OP počas trvania Zmluvy bez písomného súhlasu Odberateľa.</w:t>
      </w:r>
      <w:r>
        <w:rPr>
          <w:rFonts w:ascii="Arial" w:hAnsi="Arial"/>
          <w:b/>
        </w:rPr>
      </w:r>
      <w:r>
        <w:rPr>
          <w:rFonts w:ascii="Arial" w:hAnsi="Arial"/>
        </w:rPr>
      </w:r>
    </w:p>
    <w:p>
      <w:pPr>
        <w:spacing w:after="40"/>
        <w:ind w:left="454" w:hanging="454"/>
        <w:jc w:val="both"/>
      </w:pPr>
      <w:r>
        <w:rPr>
          <w:rFonts w:ascii="Arial" w:hAnsi="Arial"/>
          <w:b/>
        </w:rPr>
        <w:t xml:space="preserve">8.  </w:t>
      </w:r>
      <w:r>
        <w:rPr>
          <w:rFonts w:ascii="Arial" w:hAnsi="Arial"/>
          <w:b/>
        </w:rPr>
        <w:t>Koeficient K</w:t>
      </w:r>
      <w:r>
        <w:rPr>
          <w:rFonts w:ascii="Arial" w:hAnsi="Arial"/>
        </w:rPr>
        <w:t xml:space="preserve"> – aditívny koeficient uchádzača v EUR/MWh, výsledok verejného obstarávania (elektronickej aukcie). Predstavuje aditívnu prirážku k cene PXE Cal-rok. Koeficient K je nemenný počas celej doby trvania Zmluvy. Maximálna hodnota Koeficientu K je 10,00 EUR/MWh.</w:t>
      </w:r>
    </w:p>
    <w:p>
      <w:pPr>
        <w:spacing w:after="40"/>
        <w:ind w:left="454" w:hanging="454"/>
        <w:jc w:val="both"/>
      </w:pPr>
      <w:r>
        <w:rPr>
          <w:rFonts w:ascii="Arial" w:hAnsi="Arial"/>
          <w:b/>
        </w:rPr>
        <w:t xml:space="preserve">9.  KZOO – kolektívny zmluvný objem odberu, predpokladané celkové množstvo elektriny v MWh za príslušný kalendárny rok dodávky za všetkých Obstarávateľov spoločne podľa Prílohy č. 1 tejto Rámcovej dohody. KZOO sa uvádza súhrnne za všetkých 16 Obstarávateľov (vrátane Mesta Púchov) a je jednotným referenčným množstvom pre výpočet minimálneho objemu Tranže (50 % KZOO), tolerančných pásiem DTS a HTS (± 25 % KZOO) a záložnej cenotvorby.</w:t>
      </w:r>
    </w:p>
    <w:p>
      <w:pPr>
        <w:spacing w:after="40"/>
        <w:ind w:left="454" w:hanging="454"/>
        <w:jc w:val="both"/>
      </w:pPr>
      <w:r>
        <w:rPr>
          <w:rFonts w:ascii="Arial" w:hAnsi="Arial"/>
          <w:b/>
        </w:rPr>
        <w:t xml:space="preserve">10.  </w:t>
      </w:r>
      <w:r>
        <w:rPr>
          <w:rFonts w:ascii="Arial" w:hAnsi="Arial"/>
          <w:b/>
        </w:rPr>
        <w:t>Tranža</w:t>
      </w:r>
      <w:r>
        <w:rPr>
          <w:rFonts w:ascii="Arial" w:hAnsi="Arial"/>
        </w:rPr>
        <w:t xml:space="preserve"> – čiastkový nákup elektriny v objeme min. 50 % KZOO príslušného roka dodávky, predstavujúci fixáciu ceny silovej zložky.</w:t>
      </w:r>
    </w:p>
    <w:p>
      <w:pPr>
        <w:spacing w:after="40"/>
        <w:ind w:left="454" w:hanging="454"/>
        <w:jc w:val="both"/>
      </w:pPr>
      <w:r>
        <w:rPr>
          <w:rFonts w:ascii="Arial" w:hAnsi="Arial"/>
          <w:b/>
        </w:rPr>
        <w:t xml:space="preserve">11.  </w:t>
      </w:r>
      <w:r>
        <w:rPr>
          <w:rFonts w:ascii="Arial" w:hAnsi="Arial"/>
          <w:b/>
        </w:rPr>
        <w:t>Konfirmácia</w:t>
      </w:r>
      <w:r>
        <w:rPr>
          <w:rFonts w:ascii="Arial" w:hAnsi="Arial"/>
        </w:rPr>
        <w:t xml:space="preserve"> – štandardizovaný formulár podľa Prílohy č. 3 Zmluvy, ktorým sa fixuje cena Tranže.</w:t>
      </w:r>
    </w:p>
    <w:p>
      <w:pPr>
        <w:spacing w:after="40"/>
        <w:ind w:left="454" w:hanging="454"/>
        <w:jc w:val="both"/>
      </w:pPr>
      <w:r>
        <w:rPr>
          <w:rFonts w:ascii="Arial" w:hAnsi="Arial"/>
          <w:b/>
        </w:rPr>
        <w:t xml:space="preserve">12.  </w:t>
      </w:r>
      <w:r>
        <w:rPr>
          <w:rFonts w:ascii="Arial" w:hAnsi="Arial"/>
          <w:b/>
        </w:rPr>
        <w:t>PXE</w:t>
      </w:r>
      <w:r>
        <w:rPr>
          <w:rFonts w:ascii="Arial" w:hAnsi="Arial"/>
        </w:rPr>
        <w:t xml:space="preserve"> – Power Exchange Central Europe, obchodná platforma (www.pxe.cz). Produkt „SLOVAK BASE LOAD YEAR FUTURES" (SK PWR BL) sa používa pre stanovenie ceny Cal-rok.</w:t>
      </w:r>
    </w:p>
    <w:p>
      <w:pPr>
        <w:spacing w:after="40"/>
        <w:ind w:left="454" w:hanging="454"/>
        <w:jc w:val="both"/>
      </w:pPr>
      <w:r>
        <w:rPr>
          <w:rFonts w:ascii="Arial" w:hAnsi="Arial"/>
          <w:b/>
        </w:rPr>
        <w:t>13.  Cal-Xx (Cal-rok) – jednotková cena produktu „SLOVAK BASE LOAD YEAR FUTURES" pre kalendárny rok Xx (Cal-27 = rok 2027; Cal-28 = rok 2028) podľa hodnoty Best-ASK v čase ocenenia Tranže na PXE. Best-ASK je aktuálna najnižšia predajná ponuka (ask) na daný produkt v obchodnom systéme burzy PXE (obchodná platforma EEX) v okamihu ocenenia Tranže, t. j. živá trhová cena; nie je ňou Settlement cena ani indikatívna hodnota zverejňovaná s oneskorením. Settlement cena sa použije výlučne pri automatickej fixácii podľa Článku V bod 5.6.</w:t>
      </w:r>
      <w:r>
        <w:rPr>
          <w:rFonts w:ascii="Arial" w:hAnsi="Arial"/>
          <w:b/>
        </w:rPr>
      </w:r>
      <w:r>
        <w:rPr>
          <w:rFonts w:ascii="Arial" w:hAnsi="Arial"/>
        </w:rPr>
      </w:r>
    </w:p>
    <w:p>
      <w:pPr>
        <w:spacing w:after="40"/>
        <w:ind w:left="454" w:hanging="454"/>
        <w:jc w:val="both"/>
      </w:pPr>
      <w:r>
        <w:rPr>
          <w:rFonts w:ascii="Arial" w:hAnsi="Arial"/>
          <w:b/>
        </w:rPr>
        <w:t xml:space="preserve">14.  </w:t>
      </w:r>
      <w:r>
        <w:rPr>
          <w:rFonts w:ascii="Arial" w:hAnsi="Arial"/>
          <w:b/>
        </w:rPr>
        <w:t>Konečná cena</w:t>
      </w:r>
      <w:r>
        <w:rPr>
          <w:rFonts w:ascii="Arial" w:hAnsi="Arial"/>
        </w:rPr>
        <w:t xml:space="preserve"> – výsledná cena za 1 MWh dodanej elektriny v EUR/MWh bez DPH a SD, stanovená podľa Článku IV a V Zmluvy ako súčet Koeficientu K a Cal-Xx (alebo váženého priemeru viacerých Tranží).</w:t>
      </w:r>
    </w:p>
    <w:p>
      <w:pPr>
        <w:spacing w:after="40"/>
        <w:ind w:left="454" w:hanging="454"/>
        <w:jc w:val="both"/>
      </w:pPr>
      <w:r>
        <w:rPr>
          <w:rFonts w:ascii="Arial" w:hAnsi="Arial"/>
          <w:b/>
        </w:rPr>
        <w:t xml:space="preserve">15.  </w:t>
      </w:r>
      <w:r>
        <w:rPr>
          <w:rFonts w:ascii="Arial" w:hAnsi="Arial"/>
          <w:b/>
        </w:rPr>
        <w:t>OKTE</w:t>
      </w:r>
      <w:r>
        <w:rPr>
          <w:rFonts w:ascii="Arial" w:hAnsi="Arial"/>
        </w:rPr>
        <w:t xml:space="preserve"> – Organizátor krátkodobého trhu s elektrinou, a. s. – zúčtovateľ odchýlky a organizátor denného trhu (SK ISOT).</w:t>
      </w:r>
    </w:p>
    <w:p>
      <w:pPr>
        <w:spacing w:after="40"/>
        <w:ind w:left="454" w:hanging="454"/>
        <w:jc w:val="both"/>
      </w:pPr>
      <w:r>
        <w:rPr>
          <w:rFonts w:ascii="Arial" w:hAnsi="Arial"/>
          <w:b/>
        </w:rPr>
        <w:t xml:space="preserve">16.  </w:t>
      </w:r>
      <w:r>
        <w:rPr>
          <w:rFonts w:ascii="Arial" w:hAnsi="Arial"/>
          <w:b/>
        </w:rPr>
        <w:t>Konečná cena spot</w:t>
      </w:r>
      <w:r>
        <w:rPr>
          <w:rFonts w:ascii="Arial" w:hAnsi="Arial"/>
        </w:rPr>
        <w:t xml:space="preserve"> – cena podľa záložného spotového mechanizmu (Článok V bod 5.8), použitá ak nedošlo k fixácii Koeficientu K cez Konfirmáciu ani automatickou fixáciou.</w:t>
      </w:r>
    </w:p>
    <w:p>
      <w:pPr>
        <w:spacing w:after="40"/>
        <w:ind w:left="454" w:hanging="454"/>
        <w:jc w:val="both"/>
      </w:pPr>
      <w:r>
        <w:rPr>
          <w:rFonts w:ascii="Arial" w:hAnsi="Arial"/>
          <w:b/>
        </w:rPr>
        <w:t xml:space="preserve">17.  </w:t>
      </w:r>
      <w:r>
        <w:rPr>
          <w:rFonts w:ascii="Arial" w:hAnsi="Arial"/>
          <w:b/>
        </w:rPr>
        <w:t>Subdodávateľ</w:t>
      </w:r>
      <w:r>
        <w:rPr>
          <w:rFonts w:ascii="Arial" w:hAnsi="Arial"/>
        </w:rPr>
        <w:t xml:space="preserve"> – tretia osoba, prostredníctvom ktorej Dodávateľ plní časť záväzkov v rozsahu uvedenom v Prílohe č. 2 Zmluvy.</w:t>
      </w:r>
    </w:p>
    <w:p>
      <w:pPr>
        <w:spacing w:after="40"/>
        <w:ind w:left="454" w:hanging="454"/>
        <w:jc w:val="both"/>
      </w:pPr>
      <w:r>
        <w:rPr>
          <w:rFonts w:ascii="Arial" w:hAnsi="Arial"/>
          <w:b/>
        </w:rPr>
        <w:t xml:space="preserve">18.  </w:t>
      </w:r>
      <w:r>
        <w:rPr>
          <w:rFonts w:ascii="Arial" w:hAnsi="Arial"/>
          <w:b/>
        </w:rPr>
        <w:t>Krycí list</w:t>
      </w:r>
      <w:r>
        <w:rPr>
          <w:rFonts w:ascii="Arial" w:hAnsi="Arial"/>
        </w:rPr>
        <w:t xml:space="preserve"> – sumarizujúci dokument vyhotovený Dodávateľom do 7 dní po podpísaní poslednej Konfirmácie za príslušný kalendárny rok. Vzor tvorí Prílohu č. 4 Zmluvy.</w:t>
      </w:r>
    </w:p>
    <w:p>
      <w:r>
        <w:rPr>
          <w:rFonts w:ascii="Arial" w:hAnsi="Arial"/>
          <w:sz w:val="20"/>
        </w:rPr>
        <w:t xml:space="preserve">19.  Obstarávatelia – verejní obstarávatelia, ktorí sa zúčastnili príležitostného spoločného verejného obstarávania dodávok elektriny (zákazka: „Dodávka elektrickej energie 2027 – 2028") podľa § 16 zákona č. 343/2015 Z. z. o verejnom obstarávaní v znení neskorších predpisov. Vedúcim obstarávateľom je Mesto Púchov, ktoré uzatvára s Dodávateľom túto Rámcovú dohodu. </w:t>
      </w:r>
      <w:r>
        <w:rPr>
          <w:rFonts w:ascii="Arial" w:hAnsi="Arial"/>
          <w:sz w:val="20"/>
        </w:rPr>
        <w:t xml:space="preserve">S ostatnými Obstarávateľmi (organizácie v zakladateľskej a zriaďovateľskej pôsobnosti Mesta Púchov) Dodávateľ uzatvára samostatnú Čiastkovú zmluvu (v zmysle bodu 20 tohto článku). </w:t>
      </w:r>
      <w:r>
        <w:rPr>
          <w:rFonts w:ascii="Arial" w:hAnsi="Arial"/>
          <w:sz w:val="20"/>
        </w:rPr>
        <w:t xml:space="preserve">Zoznam Obstarávateľov </w:t>
      </w:r>
      <w:r>
        <w:rPr>
          <w:rFonts w:ascii="Arial" w:hAnsi="Arial"/>
          <w:sz w:val="20"/>
        </w:rPr>
        <w:t xml:space="preserve">tvorí Prílohu č. 7 tejto Rámcovej dohody (zhodne s Prílohou č. 1 SP – Zoznam účastníkov).</w:t>
      </w:r>
    </w:p>
    <w:p>
      <w:r>
        <w:rPr>
          <w:rFonts w:ascii="Arial" w:hAnsi="Arial"/>
          <w:sz w:val="20"/>
        </w:rPr>
        <w:t xml:space="preserve">20.  Čiastková zmluva – samostatná zmluva o združenej dodávke elektriny, distribúcii elektriny a prevzatí zodpovednosti za odchýlku, uzatvorená medzi Dodávateľom a každým z Obstarávateľov (mimo Mesta Púchov) za účelom stanovenia individualizovaných podmienok neupravených touto Rámcovou dohodou. Čiastková zmluva obsahuje najmä identifikačné údaje konkrétneho Obstarávateľa (Odberateľa), zoznam jeho OM (Príloha č. 1 Čiastkovej zmluvy) a špecifické údaje (bankové spojenie, kontaktné osoby). V otázkach obchodných, technických, cenových a sankčných podmienok sú Obstarávatelia viazaní ustanoveniami tejto Rámcovej dohody v rozsahu, ktorý nie je upravený Čiastkovou zmluvou. Vzor Čiastkovej zmluvy tvorí Prílohu č. 3B súťažných podkladov.</w:t>
      </w:r>
    </w:p>
    <w:p>
      <w:pPr>
        <w:spacing w:before="280" w:after="120"/>
        <w:jc w:val="center"/>
      </w:pPr>
      <w:r>
        <w:rPr>
          <w:rFonts w:ascii="Arial" w:hAnsi="Arial"/>
          <w:b/>
          <w:color w:val="1F4E78"/>
          <w:sz w:val="30"/>
        </w:rPr>
        <w:t>Článok II.   Predmet zmluvy</w:t>
      </w:r>
    </w:p>
    <w:p>
      <w:pPr>
        <w:spacing w:after="40"/>
        <w:ind w:left="454" w:hanging="454"/>
        <w:jc w:val="both"/>
      </w:pPr>
      <w:r>
        <w:rPr>
          <w:rFonts w:ascii="Arial" w:hAnsi="Arial"/>
          <w:b/>
        </w:rPr>
        <w:t>1.  Predmetom tejto Rámcovej dohody je záväzok Dodávateľa počas trvania Zmluvy poskytnúť Odberateľovi za podmienok dohodnutých v tejto Rámcovej dohode združené služby dodávky elektriny, a to:</w:t>
      </w:r>
      <w:r>
        <w:rPr>
          <w:rFonts w:ascii="Arial" w:hAnsi="Arial"/>
        </w:rPr>
      </w:r>
      <w:r>
        <w:rPr>
          <w:rFonts w:ascii="Arial" w:hAnsi="Arial"/>
          <w:b/>
        </w:rPr>
      </w:r>
      <w:r>
        <w:rPr>
          <w:rFonts w:ascii="Arial" w:hAnsi="Arial"/>
        </w:rPr>
      </w:r>
    </w:p>
    <w:p>
      <w:pPr>
        <w:spacing w:after="40"/>
        <w:ind w:left="397" w:hanging="283"/>
        <w:jc w:val="both"/>
      </w:pPr>
      <w:r>
        <w:rPr>
          <w:rFonts w:ascii="Arial" w:hAnsi="Arial"/>
        </w:rPr>
        <w:t>•  a) dodanie dohodnutého množstva elektriny do OM v množstve, čase a za podmienok dohodnutých v tejto Rámcovej dohode;</w:t>
      </w:r>
      <w:r>
        <w:rPr>
          <w:rFonts w:ascii="Arial" w:hAnsi="Arial"/>
        </w:rPr>
      </w:r>
    </w:p>
    <w:p>
      <w:pPr>
        <w:spacing w:after="40"/>
        <w:ind w:left="397" w:hanging="283"/>
        <w:jc w:val="both"/>
      </w:pPr>
      <w:r>
        <w:rPr>
          <w:rFonts w:ascii="Arial" w:hAnsi="Arial"/>
        </w:rPr>
        <w:t xml:space="preserve">•  </w:t>
      </w:r>
      <w:r>
        <w:rPr>
          <w:rFonts w:ascii="Arial" w:hAnsi="Arial"/>
        </w:rPr>
        <w:t>b) zabezpečenie distribúcie elektriny a všetkých distribučných služieb súvisiacich s distribúciou elektriny;</w:t>
      </w:r>
    </w:p>
    <w:p>
      <w:pPr>
        <w:spacing w:after="40"/>
        <w:ind w:left="397" w:hanging="283"/>
        <w:jc w:val="both"/>
      </w:pPr>
      <w:r>
        <w:rPr>
          <w:rFonts w:ascii="Arial" w:hAnsi="Arial"/>
        </w:rPr>
        <w:t xml:space="preserve">•  </w:t>
      </w:r>
      <w:r>
        <w:rPr>
          <w:rFonts w:ascii="Arial" w:hAnsi="Arial"/>
        </w:rPr>
        <w:t>c) prevzatie zodpovednosti za odchýlku Odberateľa voči zúčtovateľovi odchýlky OKTE;</w:t>
      </w:r>
    </w:p>
    <w:p>
      <w:pPr>
        <w:spacing w:after="40"/>
        <w:ind w:left="397" w:hanging="283"/>
        <w:jc w:val="both"/>
      </w:pPr>
      <w:r>
        <w:rPr>
          <w:rFonts w:ascii="Arial" w:hAnsi="Arial"/>
        </w:rPr>
        <w:t xml:space="preserve">•  </w:t>
      </w:r>
      <w:r>
        <w:rPr>
          <w:rFonts w:ascii="Arial" w:hAnsi="Arial"/>
        </w:rPr>
        <w:t>d) dodanie elektriny bez iných obchodných poplatkov (najmä bez mesačnej platby za OM).</w:t>
      </w:r>
    </w:p>
    <w:p>
      <w:pPr>
        <w:spacing w:after="80"/>
        <w:jc w:val="both"/>
      </w:pPr>
      <w:r>
        <w:rPr>
          <w:rFonts w:ascii="Arial" w:hAnsi="Arial"/>
        </w:rPr>
        <w:t>(služby uvedené pod bodmi a) – d) spolu aj ako „združené služby dodávky elektriny")</w:t>
      </w:r>
    </w:p>
    <w:p>
      <w:pPr>
        <w:spacing w:after="40"/>
        <w:ind w:left="454" w:hanging="454"/>
        <w:jc w:val="both"/>
      </w:pPr>
      <w:r>
        <w:rPr>
          <w:rFonts w:ascii="Arial" w:hAnsi="Arial"/>
          <w:b/>
        </w:rPr>
        <w:t xml:space="preserve">2.  </w:t>
      </w:r>
      <w:r>
        <w:rPr>
          <w:rFonts w:ascii="Arial" w:hAnsi="Arial"/>
        </w:rPr>
        <w:t>Predpokladom pre združené služby dodávky elektriny je platnosť zmlúv o pripojení OM do distribučnej sústavy PDS.</w:t>
      </w:r>
    </w:p>
    <w:p>
      <w:pPr>
        <w:spacing w:after="40"/>
        <w:ind w:left="454" w:hanging="454"/>
        <w:jc w:val="both"/>
      </w:pPr>
      <w:r>
        <w:rPr>
          <w:rFonts w:ascii="Arial" w:hAnsi="Arial"/>
          <w:b/>
        </w:rPr>
        <w:t>3.  Odberateľ sa zaväzuje zaplatiť Dodávateľovi cenu za združené služby dodávky elektriny podľa podmienok tejto Rámcovej dohody, ako aj dane a poplatky podľa platných predpisov.</w:t>
      </w:r>
      <w:r>
        <w:rPr>
          <w:rFonts w:ascii="Arial" w:hAnsi="Arial"/>
        </w:rPr>
      </w:r>
    </w:p>
    <w:p>
      <w:pPr>
        <w:spacing w:after="40"/>
        <w:ind w:left="454" w:hanging="454"/>
        <w:jc w:val="both"/>
      </w:pPr>
      <w:r>
        <w:rPr>
          <w:rFonts w:ascii="Arial" w:hAnsi="Arial"/>
          <w:b/>
        </w:rPr>
        <w:t xml:space="preserve">4.  </w:t>
      </w:r>
      <w:r>
        <w:rPr>
          <w:rFonts w:ascii="Arial" w:hAnsi="Arial"/>
        </w:rPr>
        <w:t>Odberateľ sa zaväzuje dodržiavať povinnosti podľa Zákona o energetike, Pravidiel trhu, Prevádzkového poriadku PDS a ostatných príslušných všeobecne záväzných právnych predpisov.</w:t>
      </w:r>
    </w:p>
    <w:p>
      <w:pPr>
        <w:spacing w:before="160" w:after="60"/>
      </w:pPr>
      <w:r>
        <w:rPr>
          <w:rFonts w:ascii="Arial" w:hAnsi="Arial"/>
          <w:b/>
          <w:color w:val="2E75B6"/>
          <w:sz w:val="24"/>
        </w:rPr>
        <w:t>Dodávka elektriny</w:t>
      </w:r>
    </w:p>
    <w:p>
      <w:pPr>
        <w:spacing w:after="40"/>
        <w:ind w:left="454" w:hanging="454"/>
        <w:jc w:val="both"/>
      </w:pPr>
      <w:r>
        <w:rPr>
          <w:rFonts w:ascii="Arial" w:hAnsi="Arial"/>
          <w:b/>
        </w:rPr>
        <w:t xml:space="preserve">5.  </w:t>
      </w:r>
      <w:r>
        <w:rPr>
          <w:rFonts w:ascii="Arial" w:hAnsi="Arial"/>
        </w:rPr>
        <w:t>Dodávka elektriny sa uskutočňuje prechodom elektriny z distribučnej sústavy PDS do OM. Prechodom cez určené meradlo do OM dochádza k prechodu vlastníckych práv k elektrine.</w:t>
      </w:r>
    </w:p>
    <w:p>
      <w:pPr>
        <w:spacing w:after="40"/>
        <w:ind w:left="454" w:hanging="454"/>
        <w:jc w:val="both"/>
      </w:pPr>
      <w:r>
        <w:rPr>
          <w:rFonts w:ascii="Arial" w:hAnsi="Arial"/>
          <w:b/>
        </w:rPr>
        <w:t xml:space="preserve">6.  </w:t>
      </w:r>
      <w:r>
        <w:rPr>
          <w:rFonts w:ascii="Arial" w:hAnsi="Arial"/>
        </w:rPr>
        <w:t>Za dodané a odobraté množstvo elektriny sa považuje množstvo namerané určeným meradlom PDS.</w:t>
      </w:r>
    </w:p>
    <w:p>
      <w:pPr>
        <w:spacing w:after="40"/>
        <w:ind w:left="454" w:hanging="454"/>
        <w:jc w:val="both"/>
      </w:pPr>
      <w:r>
        <w:rPr>
          <w:rFonts w:ascii="Arial" w:hAnsi="Arial"/>
          <w:b/>
        </w:rPr>
        <w:t xml:space="preserve">7.  </w:t>
      </w:r>
      <w:r>
        <w:rPr>
          <w:rFonts w:ascii="Arial" w:hAnsi="Arial"/>
        </w:rPr>
        <w:t>Dodávateľ je povinný dodať Odberateľovi do OM elektrinu v kvalite zodpovedajúcej technickým podmienkam PDS.</w:t>
      </w:r>
    </w:p>
    <w:p>
      <w:pPr>
        <w:spacing w:before="160" w:after="60"/>
      </w:pPr>
      <w:r>
        <w:rPr>
          <w:rFonts w:ascii="Arial" w:hAnsi="Arial"/>
          <w:b/>
          <w:color w:val="2E75B6"/>
          <w:sz w:val="24"/>
        </w:rPr>
        <w:t>Záruka pôvodu elektriny</w:t>
      </w:r>
    </w:p>
    <w:p>
      <w:pPr>
        <w:spacing w:after="40"/>
        <w:ind w:left="454" w:hanging="454"/>
        <w:jc w:val="both"/>
      </w:pPr>
      <w:r>
        <w:rPr>
          <w:rFonts w:ascii="Arial" w:hAnsi="Arial"/>
          <w:b/>
        </w:rPr>
        <w:t xml:space="preserve">8.  </w:t>
      </w:r>
      <w:r>
        <w:rPr>
          <w:rFonts w:ascii="Arial" w:hAnsi="Arial"/>
        </w:rPr>
        <w:t xml:space="preserve">Dodávateľ je povinný Odberateľovi raz ročne predložiť </w:t>
      </w:r>
      <w:r>
        <w:rPr>
          <w:rFonts w:ascii="Arial" w:hAnsi="Arial"/>
          <w:b/>
        </w:rPr>
        <w:t>doklad o štruktúre primárnych zdrojov vyrobenej elektriny</w:t>
      </w:r>
      <w:r>
        <w:rPr>
          <w:rFonts w:ascii="Arial" w:hAnsi="Arial"/>
        </w:rPr>
        <w:t xml:space="preserve"> v zmysle § 34 zákona č. 251/2012 Z. z. v znení účinnom k 1. 1. 2027, najneskôr do 31. marca nasledujúceho kalendárneho roka.</w:t>
      </w:r>
    </w:p>
    <w:p>
      <w:pPr>
        <w:spacing w:before="280" w:after="120"/>
        <w:jc w:val="center"/>
      </w:pPr>
      <w:r>
        <w:rPr>
          <w:rFonts w:ascii="Arial" w:hAnsi="Arial"/>
          <w:b/>
          <w:color w:val="1F4E78"/>
          <w:sz w:val="30"/>
        </w:rPr>
        <w:t>Článok III.   Doba trvania zmluvy</w:t>
      </w:r>
    </w:p>
    <w:p>
      <w:pPr>
        <w:spacing w:after="40"/>
        <w:ind w:left="454" w:hanging="454"/>
        <w:jc w:val="both"/>
      </w:pPr>
      <w:r>
        <w:rPr>
          <w:rFonts w:ascii="Arial" w:hAnsi="Arial"/>
          <w:b/>
        </w:rPr>
        <w:t>1.  Táto Rámcová dohoda sa uzatvára na dobu určitú</w:t>
      </w:r>
      <w:r>
        <w:rPr>
          <w:rFonts w:ascii="Arial" w:hAnsi="Arial"/>
          <w:b/>
        </w:rPr>
        <w:t xml:space="preserve">, od 01. 01. 2027 do 31. 12. 2028 (t. j. 24 mesiacov)</w:t>
      </w:r>
      <w:r>
        <w:rPr>
          <w:rFonts w:ascii="Arial" w:hAnsi="Arial"/>
          <w:b/>
        </w:rPr>
        <w:t xml:space="preserve"/>
      </w:r>
      <w:r>
        <w:rPr>
          <w:rFonts w:ascii="Arial" w:hAnsi="Arial"/>
        </w:rPr>
      </w:r>
      <w:r>
        <w:rPr>
          <w:rFonts w:ascii="Arial" w:hAnsi="Arial"/>
          <w:b/>
        </w:rPr>
      </w:r>
      <w:r>
        <w:rPr>
          <w:rFonts w:ascii="Arial" w:hAnsi="Arial"/>
        </w:rPr>
      </w:r>
    </w:p>
    <w:p>
      <w:pPr>
        <w:spacing w:after="40"/>
        <w:ind w:left="454" w:hanging="454"/>
        <w:jc w:val="both"/>
      </w:pPr>
    </w:p>
    <w:p>
      <w:pPr>
        <w:spacing w:after="40"/>
        <w:ind w:left="454" w:hanging="454"/>
        <w:jc w:val="both"/>
      </w:pPr>
      <w:r>
        <w:rPr>
          <w:rFonts w:ascii="Arial" w:hAnsi="Arial"/>
          <w:b/>
        </w:rPr>
        <w:t/>
      </w:r>
      <w:r>
        <w:rPr>
          <w:rFonts w:ascii="Arial" w:hAnsi="Arial"/>
          <w:b/>
        </w:rPr>
        <w:t xml:space="preserve">2</w:t>
      </w:r>
      <w:r>
        <w:rPr>
          <w:rFonts w:ascii="Arial" w:hAnsi="Arial"/>
          <w:b/>
        </w:rPr>
        <w:t xml:space="preserve">.  Pri odberných miestach, pre ktoré je v Prílohe č. 1 SP – Zozname OM uvedený odchylný začiatok dodávky elektriny, sa dodávka začína dohodnutým termínom uvedeným pri konkrétnom odbernom mieste. Rozsah dodávky sa v takom prípade pomerne kráti podľa skutočnej doby trvania dodávky.</w:t>
      </w:r>
      <w:r>
        <w:rPr>
          <w:rFonts w:ascii="Arial" w:hAnsi="Arial"/>
        </w:rPr>
      </w:r>
    </w:p>
    <w:p>
      <w:pPr>
        <w:spacing w:after="40"/>
        <w:ind w:left="397" w:hanging="283"/>
        <w:jc w:val="both"/>
      </w:pPr>
      <w:r>
        <w:rPr>
          <w:rFonts w:ascii="Arial" w:hAnsi="Arial"/>
        </w:rPr>
        <w:t xml:space="preserve">•  </w:t>
      </w:r>
      <w:r>
        <w:rPr>
          <w:rFonts w:ascii="Arial" w:hAnsi="Arial"/>
        </w:rPr>
        <w:t xml:space="preserve">PTSM kompostáreň (EIC 24ZSS4639314000M) – dodávka od </w:t>
      </w:r>
      <w:r>
        <w:rPr>
          <w:rFonts w:ascii="Arial" w:hAnsi="Arial"/>
          <w:b/>
        </w:rPr>
        <w:t>2. 4. 2027</w:t>
      </w:r>
      <w:r>
        <w:rPr>
          <w:rFonts w:ascii="Arial" w:hAnsi="Arial"/>
        </w:rPr>
        <w:t xml:space="preserve"> do 31. 12. 2028;</w:t>
      </w:r>
    </w:p>
    <w:p>
      <w:pPr>
        <w:spacing w:after="40"/>
        <w:ind w:left="397" w:hanging="283"/>
        <w:jc w:val="both"/>
      </w:pPr>
      <w:r>
        <w:rPr>
          <w:rFonts w:ascii="Arial" w:hAnsi="Arial"/>
        </w:rPr>
        <w:t xml:space="preserve">•  </w:t>
      </w:r>
      <w:r>
        <w:rPr>
          <w:rFonts w:ascii="Arial" w:hAnsi="Arial"/>
        </w:rPr>
        <w:t xml:space="preserve">3 nové OM Autobusovej dopravy Púchov, a. s. – aktivácia po písomnom oznámení Odberateľa najmenej </w:t>
      </w:r>
      <w:r>
        <w:rPr>
          <w:rFonts w:ascii="Arial" w:hAnsi="Arial"/>
          <w:b/>
        </w:rPr>
        <w:t>15 kalendárnych dní vopred</w:t>
      </w:r>
      <w:r>
        <w:rPr>
          <w:rFonts w:ascii="Arial" w:hAnsi="Arial"/>
        </w:rPr>
        <w:t>, predpokladane od 1. 4. 2027.</w:t>
      </w:r>
    </w:p>
    <w:p>
      <w:pPr>
        <w:spacing w:after="40"/>
        <w:ind w:left="454" w:hanging="454"/>
        <w:jc w:val="both"/>
      </w:pPr>
      <w:r>
        <w:rPr>
          <w:rFonts w:ascii="Arial" w:hAnsi="Arial"/>
          <w:b/>
        </w:rPr>
        <w:t xml:space="preserve"/>
      </w:r>
      <w:r>
        <w:rPr>
          <w:rFonts w:ascii="Arial" w:hAnsi="Arial"/>
          <w:b/>
        </w:rPr>
        <w:t xml:space="preserve">3</w:t>
      </w:r>
      <w:r>
        <w:rPr>
          <w:rFonts w:ascii="Arial" w:hAnsi="Arial"/>
          <w:b/>
        </w:rPr>
        <w:t xml:space="preserve">.  </w:t>
      </w:r>
      <w:r>
        <w:rPr>
          <w:rFonts w:ascii="Arial" w:hAnsi="Arial"/>
        </w:rPr>
        <w:t xml:space="preserve">Doba trvania Zmluvy môže byť predĺžená iba na základe písomného dodatku k Zmluve podpísaného oboma Zmluvnými stranami, a to iba v rozsahu povolenom </w:t>
      </w:r>
      <w:r>
        <w:rPr>
          <w:rFonts w:ascii="Arial" w:hAnsi="Arial"/>
          <w:b/>
        </w:rPr>
        <w:t>§ 18 ZVO</w:t>
      </w:r>
      <w:r>
        <w:rPr>
          <w:rFonts w:ascii="Arial" w:hAnsi="Arial"/>
        </w:rPr>
        <w:t>.</w:t>
      </w:r>
    </w:p>
    <w:p>
      <w:pPr>
        <w:spacing w:before="280" w:after="120"/>
        <w:jc w:val="center"/>
      </w:pPr>
      <w:r>
        <w:rPr>
          <w:rFonts w:ascii="Arial" w:hAnsi="Arial"/>
          <w:b/>
          <w:color w:val="1F4E78"/>
          <w:sz w:val="30"/>
        </w:rPr>
        <w:t>Článok IV.   Cena za dodávku elektriny</w:t>
      </w:r>
    </w:p>
    <w:p>
      <w:pPr>
        <w:spacing w:after="40"/>
        <w:ind w:left="454" w:hanging="454"/>
        <w:jc w:val="both"/>
      </w:pPr>
      <w:r>
        <w:rPr>
          <w:rFonts w:ascii="Arial" w:hAnsi="Arial"/>
          <w:b/>
        </w:rPr>
        <w:t>1.  Cena za združenú dodávku elektriny vrátane zodpovednosti za odchýlku je stanovená dohodou Zmluvných strán Rámcovej dohody na základe cenovej ponuky – Návrhu na plnenie kritéria Dodávateľa zo dňa ___________ (úspešná ponuka).</w:t>
      </w:r>
      <w:r>
        <w:rPr>
          <w:rFonts w:ascii="Arial" w:hAnsi="Arial"/>
        </w:rPr>
      </w:r>
    </w:p>
    <w:p>
      <w:pPr>
        <w:spacing w:before="160" w:after="60"/>
      </w:pPr>
      <w:r>
        <w:rPr>
          <w:rFonts w:ascii="Arial" w:hAnsi="Arial"/>
          <w:b/>
          <w:color w:val="2E75B6"/>
          <w:sz w:val="24"/>
        </w:rPr>
        <w:t>Cenový vzorec</w:t>
      </w:r>
    </w:p>
    <w:p>
      <w:pPr>
        <w:spacing w:after="80"/>
        <w:jc w:val="both"/>
      </w:pPr>
      <w:r>
        <w:rPr>
          <w:rFonts w:ascii="Arial" w:hAnsi="Arial"/>
        </w:rPr>
        <w:t>Cena za dodávku elektriny – silovej energie vrátane zodpovednosti za odchýlku sa určuje ako súčet Koeficientu K a hodnoty Cal-Xx:</w:t>
      </w:r>
      <w:r>
        <w:rPr>
          <w:rFonts w:ascii="Arial" w:hAnsi="Arial"/>
          <w:b/>
        </w:rPr>
      </w:r>
      <w:r>
        <w:rPr>
          <w:rFonts w:ascii="Arial" w:hAnsi="Arial"/>
        </w:rPr>
      </w:r>
    </w:p>
    <w:p>
      <w:pPr>
        <w:jc w:val="center"/>
      </w:pPr>
      <w:r>
        <w:rPr>
          <w:rFonts w:ascii="Arial" w:hAnsi="Arial"/>
          <w:b/>
          <w:sz w:val="28"/>
        </w:rPr>
        <w:t>Cena (EUR/MWh) = K + Cal-Xx</w:t>
      </w:r>
    </w:p>
    <w:p>
      <w:pPr>
        <w:spacing w:after="80"/>
        <w:jc w:val="center"/>
      </w:pPr>
      <w:r>
        <w:rPr>
          <w:rFonts w:ascii="Arial" w:hAnsi="Arial"/>
          <w:i/>
        </w:rPr>
        <w:t>v EUR bez spotrebnej dane a bez DPH</w:t>
      </w:r>
    </w:p>
    <w:p>
      <w:pPr>
        <w:spacing w:after="40"/>
        <w:ind w:left="454" w:hanging="454"/>
        <w:jc w:val="both"/>
      </w:pPr>
      <w:r>
        <w:rPr>
          <w:rFonts w:ascii="Arial" w:hAnsi="Arial"/>
          <w:b/>
        </w:rPr>
        <w:t xml:space="preserve">2.  </w:t>
      </w:r>
      <w:r>
        <w:rPr>
          <w:rFonts w:ascii="Arial" w:hAnsi="Arial"/>
        </w:rPr>
        <w:t xml:space="preserve">Koeficient K – aditívny koeficient Dodávateľa je vo výške </w:t>
      </w:r>
      <w:r>
        <w:rPr>
          <w:rFonts w:ascii="Arial" w:hAnsi="Arial"/>
          <w:b/>
        </w:rPr>
        <w:t>[doplniť výslednú hodnotu z aukcie] EUR/MWh</w:t>
      </w:r>
      <w:r>
        <w:rPr>
          <w:rFonts w:ascii="Arial" w:hAnsi="Arial"/>
        </w:rPr>
        <w:t>. Tento Koeficient K je čo do výšky položkou nemennou počas celej doby trvania Zmluvy. Koeficient K nepresahuje hornú hranicu 10,00 EUR/MWh stanovenú verejným obstarávateľom v súťažných podkladoch.</w:t>
      </w:r>
    </w:p>
    <w:p>
      <w:pPr>
        <w:spacing w:after="40"/>
        <w:ind w:left="454" w:hanging="454"/>
        <w:jc w:val="both"/>
      </w:pPr>
      <w:r>
        <w:rPr>
          <w:rFonts w:ascii="Arial" w:hAnsi="Arial"/>
          <w:b/>
        </w:rPr>
        <w:t xml:space="preserve">3.  </w:t>
      </w:r>
      <w:r>
        <w:rPr>
          <w:rFonts w:ascii="Arial" w:hAnsi="Arial"/>
        </w:rPr>
        <w:t xml:space="preserve">Cal-Xx je jednotková cena produktu „SLOVAK BASE LOAD YEAR FUTURES" (Best-ASK v čase ocenenia Tranže; pri automatickej fixácii podľa Článku V bod 5.6 Settlement) pre príslušný kalendárny rok dodávky podľa Tranží (Konfirmácií) uzatvorených v zmysle Článku V Zmluvy.</w:t>
      </w:r>
    </w:p>
    <w:p>
      <w:pPr>
        <w:spacing w:before="160" w:after="60"/>
      </w:pPr>
      <w:r>
        <w:rPr>
          <w:rFonts w:ascii="Arial" w:hAnsi="Arial"/>
          <w:b/>
          <w:color w:val="2E75B6"/>
          <w:sz w:val="24"/>
        </w:rPr>
        <w:t>Pravidlá určenia ceny pri skutočnej fakturácii</w:t>
      </w:r>
    </w:p>
    <w:p>
      <w:pPr>
        <w:spacing w:after="40"/>
        <w:ind w:left="397" w:hanging="283"/>
        <w:jc w:val="both"/>
      </w:pPr>
      <w:r>
        <w:rPr>
          <w:rFonts w:ascii="Arial" w:hAnsi="Arial"/>
        </w:rPr>
        <w:t xml:space="preserve">•  </w:t>
      </w:r>
      <w:r>
        <w:rPr>
          <w:rFonts w:ascii="Arial" w:hAnsi="Arial"/>
        </w:rPr>
        <w:t>ponuka uchádzača sa kalkuluje na predpokladané množstvo;</w:t>
      </w:r>
    </w:p>
    <w:p>
      <w:pPr>
        <w:spacing w:after="40"/>
        <w:ind w:left="397" w:hanging="283"/>
        <w:jc w:val="both"/>
      </w:pPr>
      <w:r>
        <w:rPr>
          <w:rFonts w:ascii="Arial" w:hAnsi="Arial"/>
        </w:rPr>
        <w:t xml:space="preserve">•  </w:t>
      </w:r>
      <w:r>
        <w:rPr>
          <w:rFonts w:ascii="Arial" w:hAnsi="Arial"/>
        </w:rPr>
        <w:t>fakturuje sa na základe skutočného odberu;</w:t>
      </w:r>
    </w:p>
    <w:p>
      <w:pPr>
        <w:spacing w:after="40"/>
        <w:ind w:left="397" w:hanging="283"/>
        <w:jc w:val="both"/>
      </w:pPr>
      <w:r>
        <w:rPr>
          <w:rFonts w:ascii="Arial" w:hAnsi="Arial"/>
        </w:rPr>
        <w:t xml:space="preserve">•  </w:t>
      </w:r>
      <w:r>
        <w:rPr>
          <w:rFonts w:ascii="Arial" w:hAnsi="Arial"/>
        </w:rPr>
        <w:t>jednotkové ceny sa nemôžu meniť v neprospech Odberateľa v závislosti od množstva odberu;</w:t>
      </w:r>
    </w:p>
    <w:p>
      <w:pPr>
        <w:spacing w:after="40"/>
        <w:ind w:left="397" w:hanging="283"/>
        <w:jc w:val="both"/>
      </w:pPr>
      <w:r>
        <w:rPr>
          <w:rFonts w:ascii="Arial" w:hAnsi="Arial"/>
        </w:rPr>
        <w:t xml:space="preserve">•  </w:t>
      </w:r>
      <w:r>
        <w:rPr>
          <w:rFonts w:ascii="Arial" w:hAnsi="Arial"/>
        </w:rPr>
        <w:t>zmena dohodnutej ceny v dôsledku registrácie úspešného uchádzača za platiteľa DPH nie je prípustná.</w:t>
      </w:r>
    </w:p>
    <w:p>
      <w:pPr>
        <w:spacing w:before="160" w:after="60"/>
      </w:pPr>
      <w:r>
        <w:rPr>
          <w:rFonts w:ascii="Arial" w:hAnsi="Arial"/>
          <w:b/>
          <w:color w:val="2E75B6"/>
          <w:sz w:val="24"/>
        </w:rPr>
        <w:t>Mesačná platba za OM</w:t>
      </w:r>
    </w:p>
    <w:p>
      <w:pPr>
        <w:spacing w:after="40"/>
        <w:ind w:left="454" w:hanging="454"/>
        <w:jc w:val="both"/>
      </w:pPr>
      <w:r>
        <w:rPr>
          <w:rFonts w:ascii="Arial" w:hAnsi="Arial"/>
          <w:b/>
        </w:rPr>
        <w:t xml:space="preserve">4.  </w:t>
      </w:r>
      <w:r>
        <w:rPr>
          <w:rFonts w:ascii="Arial" w:hAnsi="Arial"/>
        </w:rPr>
        <w:t xml:space="preserve">Dodávateľ </w:t>
      </w:r>
      <w:r>
        <w:rPr>
          <w:rFonts w:ascii="Arial" w:hAnsi="Arial"/>
          <w:b/>
        </w:rPr>
        <w:t>nie je oprávnený</w:t>
      </w:r>
      <w:r>
        <w:rPr>
          <w:rFonts w:ascii="Arial" w:hAnsi="Arial"/>
        </w:rPr>
        <w:t xml:space="preserve"> účtovať Odberateľovi žiadnu mesačnú platbu za odberné miesto (žiadny mesačný poplatok za OM ani podobný fixný poplatok mimo distribučných služieb a samotnej ceny za dodanú elektrinu).</w:t>
      </w:r>
    </w:p>
    <w:p>
      <w:pPr>
        <w:spacing w:before="160" w:after="60"/>
      </w:pPr>
      <w:r>
        <w:rPr>
          <w:rFonts w:ascii="Arial" w:hAnsi="Arial"/>
          <w:b/>
          <w:color w:val="2E75B6"/>
          <w:sz w:val="24"/>
        </w:rPr>
        <w:t>Daň z pridanej hodnoty a spotrebná daň</w:t>
      </w:r>
    </w:p>
    <w:p>
      <w:pPr>
        <w:spacing w:after="40"/>
        <w:ind w:left="454" w:hanging="454"/>
        <w:jc w:val="both"/>
      </w:pPr>
      <w:r>
        <w:rPr>
          <w:rFonts w:ascii="Arial" w:hAnsi="Arial"/>
          <w:b/>
        </w:rPr>
        <w:t xml:space="preserve">5.  </w:t>
      </w:r>
      <w:r>
        <w:rPr>
          <w:rFonts w:ascii="Arial" w:hAnsi="Arial"/>
        </w:rPr>
        <w:t>Súčasťou ceny za dodávku 1 MWh elektriny nie je daň z pridanej hodnoty (DPH), ktorú Dodávateľ vyúčtuje v každej faktúre aj v predpise záloh.</w:t>
      </w:r>
    </w:p>
    <w:p>
      <w:pPr>
        <w:spacing w:after="40"/>
        <w:ind w:left="454" w:hanging="454"/>
        <w:jc w:val="both"/>
      </w:pPr>
      <w:r>
        <w:rPr>
          <w:rFonts w:ascii="Arial" w:hAnsi="Arial"/>
          <w:b/>
        </w:rPr>
        <w:t xml:space="preserve">6.  </w:t>
      </w:r>
      <w:r>
        <w:rPr>
          <w:rFonts w:ascii="Arial" w:hAnsi="Arial"/>
        </w:rPr>
        <w:t>V prípade, ak dodávka elektriny bude v čase dodania zaťažená spotrebnou alebo inou aplikovateľnou daňou, Dodávateľ upraví celkovú fakturovanú sumu bez DPH o čiastku zodpovedajúcu takejto dani.</w:t>
      </w:r>
    </w:p>
    <w:p>
      <w:pPr>
        <w:spacing w:before="160" w:after="60"/>
      </w:pPr>
      <w:r>
        <w:rPr>
          <w:rFonts w:ascii="Arial" w:hAnsi="Arial"/>
          <w:b/>
          <w:color w:val="2E75B6"/>
          <w:sz w:val="24"/>
        </w:rPr>
        <w:t>Distribučné poplatky</w:t>
      </w:r>
    </w:p>
    <w:p>
      <w:pPr>
        <w:spacing w:after="40"/>
        <w:ind w:left="454" w:hanging="454"/>
        <w:jc w:val="both"/>
      </w:pPr>
      <w:r>
        <w:rPr>
          <w:rFonts w:ascii="Arial" w:hAnsi="Arial"/>
          <w:b/>
        </w:rPr>
        <w:t xml:space="preserve">7.  </w:t>
      </w:r>
      <w:r>
        <w:rPr>
          <w:rFonts w:ascii="Arial" w:hAnsi="Arial"/>
        </w:rPr>
        <w:t>Cena za zabezpečenie distribučných služieb nie je súčasťou Konečnej ceny a je určená podľa množstva dodanej elektriny a dohodnutej výšky rezervovanej kapacity pre príslušné OM v súlade s platnými cenovými rozhodnutiami ÚRSO.</w:t>
      </w:r>
    </w:p>
    <w:p>
      <w:pPr>
        <w:spacing w:after="40"/>
        <w:ind w:left="454" w:hanging="454"/>
        <w:jc w:val="both"/>
      </w:pPr>
      <w:r>
        <w:rPr>
          <w:rFonts w:ascii="Arial" w:hAnsi="Arial"/>
          <w:b/>
        </w:rPr>
        <w:t>8.  Dodávateľ účtuje Odberateľovi distribučné poplatky, tarifa za systémové služby (TSS), tarifa za prevádzkovanie systému (TPS) a ostatné regulované poplatky bez akéhokoľvek navýšenia (princíp pass-through) – výlučne vo výške podľa cenového rozhodnutia ÚRSO platného v čase dodávky.</w:t>
      </w:r>
      <w:r>
        <w:rPr>
          <w:rFonts w:ascii="Arial" w:hAnsi="Arial"/>
        </w:rPr>
      </w:r>
      <w:r>
        <w:rPr>
          <w:rFonts w:ascii="Arial" w:hAnsi="Arial"/>
          <w:b/>
        </w:rPr>
      </w:r>
      <w:r>
        <w:rPr>
          <w:rFonts w:ascii="Arial" w:hAnsi="Arial"/>
        </w:rPr>
      </w:r>
    </w:p>
    <w:p>
      <w:pPr>
        <w:spacing w:before="160" w:after="60"/>
      </w:pPr>
      <w:r>
        <w:rPr>
          <w:rFonts w:ascii="Arial" w:hAnsi="Arial"/>
          <w:b/>
          <w:color w:val="2E75B6"/>
          <w:sz w:val="24"/>
        </w:rPr>
        <w:t>Tolerančné pásma odberu</w:t>
      </w:r>
    </w:p>
    <w:p>
      <w:pPr>
        <w:spacing w:after="80"/>
        <w:jc w:val="both"/>
      </w:pPr>
      <w:r>
        <w:rPr>
          <w:rFonts w:ascii="Arial" w:hAnsi="Arial"/>
        </w:rPr>
        <w:t>Objem dodávky elektriny má rozšírené tolerančné pásma:</w:t>
      </w:r>
    </w:p>
    <w:tbl>
      <w:tblPr>
        <w:tblStyle w:val="LightGrid-Accent1"/>
        <w:tblW w:type="auto" w:w="0"/>
        <w:tblLook w:firstColumn="1" w:firstRow="1" w:lastColumn="0" w:lastRow="0" w:noHBand="0" w:noVBand="1" w:val="04A0"/>
      </w:tblPr>
      <w:tblGrid>
        <w:gridCol w:w="3362"/>
        <w:gridCol w:w="3362"/>
        <w:gridCol w:w="3362"/>
      </w:tblGrid>
      <w:tr>
        <w:tc>
          <w:tcPr>
            <w:tcW w:type="dxa" w:w="3362"/>
            <w:shd w:fill="1F4E78"/>
          </w:tcPr>
          <w:p>
            <w:r/>
            <w:r>
              <w:rPr>
                <w:rFonts w:ascii="Arial" w:hAnsi="Arial"/>
                <w:b/>
                <w:color w:val="FFFFFF"/>
              </w:rPr>
              <w:t>Pásmo</w:t>
            </w:r>
          </w:p>
        </w:tc>
        <w:tc>
          <w:tcPr>
            <w:tcW w:type="dxa" w:w="3362"/>
            <w:shd w:fill="1F4E78"/>
          </w:tcPr>
          <w:p>
            <w:r/>
            <w:r>
              <w:rPr>
                <w:rFonts w:ascii="Arial" w:hAnsi="Arial"/>
                <w:b/>
                <w:color w:val="FFFFFF"/>
              </w:rPr>
              <w:t>Hranica</w:t>
            </w:r>
          </w:p>
        </w:tc>
        <w:tc>
          <w:tcPr>
            <w:tcW w:type="dxa" w:w="3362"/>
            <w:shd w:fill="1F4E78"/>
          </w:tcPr>
          <w:p>
            <w:r/>
            <w:r>
              <w:rPr>
                <w:rFonts w:ascii="Arial" w:hAnsi="Arial"/>
                <w:b/>
                <w:color w:val="FFFFFF"/>
              </w:rPr>
              <w:t>Dôsledok</w:t>
            </w:r>
          </w:p>
        </w:tc>
      </w:tr>
      <w:tr>
        <w:tc>
          <w:tcPr>
            <w:tcW w:type="dxa" w:w="3362"/>
          </w:tcPr>
          <w:p>
            <w:r/>
            <w:r>
              <w:rPr>
                <w:rFonts w:ascii="Arial" w:hAnsi="Arial"/>
              </w:rPr>
              <w:t>Dolná tolerancia spotreby (DTS)</w:t>
            </w:r>
          </w:p>
        </w:tc>
        <w:tc>
          <w:tcPr>
            <w:tcW w:type="dxa" w:w="3362"/>
          </w:tcPr>
          <w:p>
            <w:r/>
            <w:r>
              <w:rPr>
                <w:rFonts w:ascii="Arial" w:hAnsi="Arial"/>
                <w:sz w:val="20"/>
              </w:rPr>
              <w:t>− 25 % z hodnoty výšky odberu podľa KZOO</w:t>
            </w:r>
          </w:p>
        </w:tc>
        <w:tc>
          <w:tcPr>
            <w:tcW w:type="dxa" w:w="3362"/>
          </w:tcPr>
          <w:p>
            <w:r/>
            <w:r>
              <w:rPr>
                <w:rFonts w:ascii="Arial" w:hAnsi="Arial"/>
              </w:rPr>
              <w:t>Bez zmluvnej pokuty za neodobratie</w:t>
            </w:r>
          </w:p>
        </w:tc>
      </w:tr>
      <w:tr>
        <w:tc>
          <w:tcPr>
            <w:tcW w:type="dxa" w:w="3362"/>
          </w:tcPr>
          <w:p>
            <w:r/>
            <w:r>
              <w:rPr>
                <w:rFonts w:ascii="Arial" w:hAnsi="Arial"/>
              </w:rPr>
              <w:t>Horná tolerancia spotreby (HTS)</w:t>
            </w:r>
          </w:p>
        </w:tc>
        <w:tc>
          <w:tcPr>
            <w:tcW w:type="dxa" w:w="3362"/>
          </w:tcPr>
          <w:p>
            <w:r/>
            <w:r>
              <w:rPr>
                <w:rFonts w:ascii="Arial" w:hAnsi="Arial"/>
                <w:sz w:val="20"/>
              </w:rPr>
              <w:t>+ 25 % z hodnoty výšky odberu podľa KZOO</w:t>
            </w:r>
          </w:p>
        </w:tc>
        <w:tc>
          <w:tcPr>
            <w:tcW w:type="dxa" w:w="3362"/>
          </w:tcPr>
          <w:p>
            <w:r/>
            <w:r>
              <w:rPr>
                <w:rFonts w:ascii="Arial" w:hAnsi="Arial"/>
              </w:rPr>
              <w:t>Bez zmluvnej pokuty za odber navyše</w:t>
            </w:r>
          </w:p>
        </w:tc>
      </w:tr>
      <w:tr>
        <w:tc>
          <w:tcPr>
            <w:tcW w:type="dxa" w:w="3362"/>
          </w:tcPr>
          <w:p>
            <w:r/>
            <w:r>
              <w:rPr>
                <w:rFonts w:ascii="Arial" w:hAnsi="Arial"/>
              </w:rPr>
              <w:t>Pod DTS (pod − 25 %)</w:t>
            </w:r>
          </w:p>
        </w:tc>
        <w:tc>
          <w:tcPr>
            <w:tcW w:type="dxa" w:w="3362"/>
          </w:tcPr>
          <w:p>
            <w:r/>
            <w:r>
              <w:rPr>
                <w:rFonts w:ascii="Arial" w:hAnsi="Arial"/>
              </w:rPr>
              <w:t>—</w:t>
            </w:r>
          </w:p>
        </w:tc>
        <w:tc>
          <w:tcPr>
            <w:tcW w:type="dxa" w:w="3362"/>
          </w:tcPr>
          <w:p>
            <w:r/>
            <w:r>
              <w:rPr>
                <w:rFonts w:ascii="Arial" w:hAnsi="Arial"/>
                <w:sz w:val="20"/>
              </w:rPr>
              <w:t>Zmluvná pokuta maximálne 15,00 EUR za každú neodobratú MWh pod hranicou DTS</w:t>
            </w:r>
          </w:p>
        </w:tc>
      </w:tr>
      <w:tr>
        <w:tc>
          <w:tcPr>
            <w:tcW w:type="dxa" w:w="3362"/>
          </w:tcPr>
          <w:p>
            <w:r/>
            <w:r>
              <w:rPr>
                <w:rFonts w:ascii="Arial" w:hAnsi="Arial"/>
              </w:rPr>
              <w:t>Nad HTS (nad + 25 %)</w:t>
            </w:r>
          </w:p>
        </w:tc>
        <w:tc>
          <w:tcPr>
            <w:tcW w:type="dxa" w:w="3362"/>
          </w:tcPr>
          <w:p>
            <w:r/>
            <w:r>
              <w:rPr>
                <w:rFonts w:ascii="Arial" w:hAnsi="Arial"/>
              </w:rPr>
              <w:t>—</w:t>
            </w:r>
          </w:p>
        </w:tc>
        <w:tc>
          <w:tcPr>
            <w:tcW w:type="dxa" w:w="3362"/>
          </w:tcPr>
          <w:p>
            <w:r/>
            <w:r>
              <w:rPr>
                <w:rFonts w:ascii="Arial" w:hAnsi="Arial"/>
                <w:sz w:val="20"/>
              </w:rPr>
              <w:t>Zmluvná pokuta maximálne 15,00 EUR za každú odobratú MWh nad hranicou HTS</w:t>
            </w:r>
          </w:p>
        </w:tc>
      </w:tr>
    </w:tbl>
    <w:p>
      <w:pPr>
        <w:spacing w:after="40"/>
        <w:ind w:left="454" w:hanging="454"/>
        <w:jc w:val="both"/>
      </w:pPr>
      <w:r>
        <w:rPr>
          <w:rFonts w:ascii="Arial" w:hAnsi="Arial"/>
          <w:b/>
        </w:rPr>
        <w:t xml:space="preserve">9.  Tolerančné pásma DTS a HTS sa vyhodnocujú za všetky OM všetkých Obstarávateľov spoločne (súhrnne za všetkých 16 Obstarávateľov) za príslušný kalendárny rok dodávky. Roky dodávky sa posudzujú samostatne.</w:t>
      </w:r>
    </w:p>
    <w:p>
      <w:pPr>
        <w:spacing w:after="40"/>
        <w:ind w:left="454" w:hanging="454"/>
        <w:jc w:val="both"/>
      </w:pPr>
      <w:r>
        <w:rPr>
          <w:rFonts w:ascii="Arial" w:hAnsi="Arial"/>
          <w:b/>
        </w:rPr>
        <w:t xml:space="preserve">10.  V rámci tolerančných pásiem odberu (DTS a HTS), definovaných v predchádzajúcich bodoch, nebude uplatňovaná žiadna zmluvná pokuta alebo príplatok za neodobratie alebo odobratie elektriny naviac.</w:t>
      </w:r>
    </w:p>
    <w:p>
      <w:r>
        <w:rPr>
          <w:rFonts w:ascii="Arial" w:hAnsi="Arial"/>
          <w:b/>
        </w:rPr>
        <w:t xml:space="preserve">11.  Zmluvné pokuty pri prekročení tolerančných pásiem (pod hranicou DTS alebo nad hranicou HTS) sú splatné po vyhodnotení kalendárneho roka dodávky, najneskôr do 30 dní od doručenia výzvy Odberateľa na ich úhradu.</w:t>
      </w:r>
    </w:p>
    <w:p>
      <w:pPr>
        <w:spacing w:before="280" w:after="120"/>
        <w:jc w:val="center"/>
      </w:pPr>
      <w:r>
        <w:rPr>
          <w:rFonts w:ascii="Arial" w:hAnsi="Arial"/>
          <w:b/>
          <w:color w:val="1F4E78"/>
          <w:sz w:val="30"/>
        </w:rPr>
        <w:t>Článok V.   Postupný nákup (Tranže) a Konfirmácie</w:t>
      </w:r>
    </w:p>
    <w:p>
      <w:pPr>
        <w:spacing w:before="160" w:after="60"/>
      </w:pPr>
      <w:r>
        <w:rPr>
          <w:rFonts w:ascii="Arial" w:hAnsi="Arial"/>
          <w:b/>
          <w:color w:val="2E75B6"/>
          <w:sz w:val="24"/>
        </w:rPr>
        <w:t>5.1  Princíp postupného nákupu</w:t>
      </w:r>
    </w:p>
    <w:p>
      <w:pPr>
        <w:spacing w:after="40"/>
        <w:ind w:left="454" w:hanging="454"/>
        <w:jc w:val="both"/>
      </w:pPr>
      <w:r>
        <w:rPr>
          <w:rFonts w:ascii="Arial" w:hAnsi="Arial"/>
          <w:b/>
        </w:rPr>
        <w:t>1.  Rámcová dohoda je založená na produkte „fixná cena s postupným nákupom". Odberateľ má právo počas trvania Zmluvy postupne fixovať cenu silovej elektriny na jednotlivé kalendárne roky dodávky formou Tranží prostredníctvom Konfirmácií. Pre všetkých Odberateľov (Obstarávateľov) bude postupný nákup (Tranže) realizovať Mesto Púchov, Štefánikova 821/21, 020 01 Púchov, IČO 00 317 748.</w:t>
      </w:r>
      <w:r>
        <w:rPr>
          <w:rFonts w:ascii="Arial" w:hAnsi="Arial"/>
        </w:rPr>
      </w:r>
      <w:r>
        <w:rPr>
          <w:rFonts w:ascii="Arial" w:hAnsi="Arial"/>
          <w:b/>
        </w:rPr>
      </w:r>
      <w:r>
        <w:rPr>
          <w:rFonts w:ascii="Arial" w:hAnsi="Arial"/>
        </w:rPr>
      </w:r>
    </w:p>
    <w:p>
      <w:pPr>
        <w:spacing w:before="160" w:after="60"/>
      </w:pPr>
      <w:r>
        <w:rPr>
          <w:rFonts w:ascii="Arial" w:hAnsi="Arial"/>
          <w:b/>
          <w:color w:val="2E75B6"/>
          <w:sz w:val="24"/>
        </w:rPr>
        <w:t>5.2  Deň D a oprávnené osoby</w:t>
      </w:r>
    </w:p>
    <w:p>
      <w:pPr>
        <w:spacing w:after="40"/>
        <w:ind w:left="454" w:hanging="454"/>
        <w:jc w:val="both"/>
      </w:pPr>
      <w:r>
        <w:rPr>
          <w:rFonts w:ascii="Arial" w:hAnsi="Arial"/>
          <w:b/>
        </w:rPr>
        <w:t xml:space="preserve">2.  </w:t>
      </w:r>
      <w:r>
        <w:rPr>
          <w:rFonts w:ascii="Arial" w:hAnsi="Arial"/>
        </w:rPr>
        <w:t xml:space="preserve">„Dňom D" sa rozumie pracovný deň burzy PXE, v ktorom je Dodávateľovi doručená požiadavka na ocenenie Tranže. Odberateľ má právo požiadať o cenovú ponuku na nákup Tranže každý pracovný deň v čase od </w:t>
      </w:r>
      <w:r>
        <w:rPr>
          <w:rFonts w:ascii="Arial" w:hAnsi="Arial"/>
          <w:b/>
        </w:rPr>
        <w:t>09:00 do 15:00 hod. SEČ/SELČ</w:t>
      </w:r>
      <w:r>
        <w:rPr>
          <w:rFonts w:ascii="Arial" w:hAnsi="Arial"/>
        </w:rPr>
        <w:t xml:space="preserve"> prostredníctvom oprávnených osôb uvedených v Prílohe č. 2 Zmluvy.</w:t>
      </w:r>
    </w:p>
    <w:p>
      <w:pPr>
        <w:spacing w:before="160" w:after="60"/>
      </w:pPr>
      <w:r>
        <w:rPr>
          <w:rFonts w:ascii="Arial" w:hAnsi="Arial"/>
          <w:b/>
          <w:color w:val="2E75B6"/>
          <w:sz w:val="24"/>
        </w:rPr>
        <w:t>5.3  Minimálny objem Tranže</w:t>
      </w:r>
    </w:p>
    <w:p>
      <w:pPr>
        <w:spacing w:after="40"/>
        <w:ind w:left="454" w:hanging="454"/>
        <w:jc w:val="both"/>
      </w:pPr>
      <w:r>
        <w:rPr>
          <w:rFonts w:ascii="Arial" w:hAnsi="Arial"/>
          <w:b/>
        </w:rPr>
        <w:t xml:space="preserve">3.  </w:t>
      </w:r>
      <w:r>
        <w:rPr>
          <w:rFonts w:ascii="Arial" w:hAnsi="Arial"/>
        </w:rPr>
        <w:t xml:space="preserve">Minimálny objem pre fixáciu ceny v jednom kroku musí byť najmenej </w:t>
      </w:r>
      <w:r>
        <w:rPr>
          <w:rFonts w:ascii="Arial" w:hAnsi="Arial"/>
          <w:b/>
        </w:rPr>
        <w:t>50 % z KZOO</w:t>
      </w:r>
      <w:r>
        <w:rPr>
          <w:rFonts w:ascii="Arial" w:hAnsi="Arial"/>
        </w:rPr>
        <w:t xml:space="preserve"> na príslušný kalendárny rok dodávky. Kalendárne roky sa posudzujú vždy samostatne.</w:t>
      </w:r>
    </w:p>
    <w:p>
      <w:pPr>
        <w:spacing w:before="160" w:after="60"/>
      </w:pPr>
      <w:r>
        <w:rPr>
          <w:rFonts w:ascii="Arial" w:hAnsi="Arial"/>
          <w:b/>
          <w:color w:val="2E75B6"/>
          <w:sz w:val="24"/>
        </w:rPr>
        <w:t>5.4  Postup uzatvárania Konfirmácie</w:t>
      </w:r>
    </w:p>
    <w:p>
      <w:pPr>
        <w:spacing w:after="40"/>
        <w:ind w:left="454" w:hanging="454"/>
        <w:jc w:val="both"/>
      </w:pPr>
      <w:r>
        <w:rPr>
          <w:rFonts w:ascii="Arial" w:hAnsi="Arial"/>
          <w:b/>
        </w:rPr>
        <w:t xml:space="preserve">4.  </w:t>
      </w:r>
      <w:r>
        <w:rPr>
          <w:rFonts w:ascii="Arial" w:hAnsi="Arial"/>
        </w:rPr>
        <w:t xml:space="preserve">Odberateľ zašle Dodávateľovi požiadavku na cenovú ponuku na nákup Tranže prostredníctvom </w:t>
      </w:r>
      <w:r>
        <w:rPr>
          <w:rFonts w:ascii="Arial" w:hAnsi="Arial"/>
          <w:b/>
        </w:rPr>
        <w:t>Požiadavky na konfirmáciu</w:t>
      </w:r>
      <w:r>
        <w:rPr>
          <w:rFonts w:ascii="Arial" w:hAnsi="Arial"/>
        </w:rPr>
        <w:t xml:space="preserve"> (vzor v Prílohe č. 3 Zmluvy) formou e-mailu a telefonického upozornenia.</w:t>
      </w:r>
    </w:p>
    <w:p>
      <w:pPr>
        <w:spacing w:after="40"/>
        <w:ind w:left="454" w:hanging="454"/>
        <w:jc w:val="both"/>
      </w:pPr>
      <w:r>
        <w:rPr>
          <w:rFonts w:ascii="Arial" w:hAnsi="Arial"/>
          <w:b/>
        </w:rPr>
        <w:t xml:space="preserve">5.  </w:t>
      </w:r>
      <w:r>
        <w:rPr>
          <w:rFonts w:ascii="Arial" w:hAnsi="Arial"/>
        </w:rPr>
        <w:t xml:space="preserve">Požiadavka sa zasiela najneskôr </w:t>
      </w:r>
      <w:r>
        <w:rPr>
          <w:rFonts w:ascii="Arial" w:hAnsi="Arial"/>
          <w:b/>
        </w:rPr>
        <w:t>70 minút</w:t>
      </w:r>
      <w:r>
        <w:rPr>
          <w:rFonts w:ascii="Arial" w:hAnsi="Arial"/>
        </w:rPr>
        <w:t xml:space="preserve"> pred požadovaným časom ocenenia.</w:t>
      </w:r>
    </w:p>
    <w:p>
      <w:pPr>
        <w:spacing w:after="40"/>
        <w:ind w:left="454" w:hanging="454"/>
        <w:jc w:val="both"/>
      </w:pPr>
      <w:r>
        <w:rPr>
          <w:rFonts w:ascii="Arial" w:hAnsi="Arial"/>
          <w:b/>
        </w:rPr>
        <w:t xml:space="preserve">6.  </w:t>
      </w:r>
      <w:r>
        <w:rPr>
          <w:rFonts w:ascii="Arial" w:hAnsi="Arial"/>
        </w:rPr>
        <w:t xml:space="preserve">Dodávateľ je povinný potvrdiť prijatie požiadavky bezodkladne, najneskôr do </w:t>
      </w:r>
      <w:r>
        <w:rPr>
          <w:rFonts w:ascii="Arial" w:hAnsi="Arial"/>
          <w:b/>
        </w:rPr>
        <w:t>60 minút</w:t>
      </w:r>
      <w:r>
        <w:rPr>
          <w:rFonts w:ascii="Arial" w:hAnsi="Arial"/>
        </w:rPr>
        <w:t xml:space="preserve"> e-mailom.</w:t>
      </w:r>
    </w:p>
    <w:p>
      <w:pPr>
        <w:spacing w:after="40"/>
        <w:ind w:left="454" w:hanging="454"/>
        <w:jc w:val="both"/>
      </w:pPr>
      <w:r>
        <w:rPr>
          <w:rFonts w:ascii="Arial" w:hAnsi="Arial"/>
          <w:b/>
        </w:rPr>
        <w:t>7.  Dodávateľ na základe požiadavky doručí Odberateľovi cenovú ponuku obsahujúcu: dátum a čas zaznamenania ceny, použitý produkt PXE, hodnotu Best-ASK, snímku obrazovky obchodného systému s dátumom a časom zaznamenania ceny, požadovaný kalendárny rok dodávky, objem Tranže v MWh, výpočtovú cenu Cal-Xx. Ak v požadovanom čase ocenenia nie je pre produkt k dispozícii žiadna predajná ponuka (Best-ASK), Dodávateľ o tom Odberateľa bezodkladne informuje a Odberateľ môže požiadať o ocenenie Tranže v inom čase.</w:t>
      </w:r>
      <w:r>
        <w:rPr>
          <w:rFonts w:ascii="Arial" w:hAnsi="Arial"/>
        </w:rPr>
      </w:r>
    </w:p>
    <w:p>
      <w:pPr>
        <w:spacing w:after="40"/>
        <w:ind w:left="454" w:hanging="454"/>
        <w:jc w:val="both"/>
      </w:pPr>
      <w:r>
        <w:rPr>
          <w:rFonts w:ascii="Arial" w:hAnsi="Arial"/>
          <w:b/>
        </w:rPr>
        <w:t>8.  Platnosť cenovej ponuky: 15 minút od poskytnutia (Zmluvné strany Rámcovej dohody sa môžu v konkrétnom prípade dohodnúť aj inak).</w:t>
      </w:r>
      <w:r>
        <w:rPr>
          <w:rFonts w:ascii="Arial" w:hAnsi="Arial"/>
        </w:rPr>
      </w:r>
      <w:r>
        <w:rPr>
          <w:rFonts w:ascii="Arial" w:hAnsi="Arial"/>
          <w:b/>
        </w:rPr>
      </w:r>
      <w:r>
        <w:rPr>
          <w:rFonts w:ascii="Arial" w:hAnsi="Arial"/>
        </w:rPr>
      </w:r>
    </w:p>
    <w:p>
      <w:pPr>
        <w:spacing w:after="40"/>
        <w:ind w:left="454" w:hanging="454"/>
        <w:jc w:val="both"/>
      </w:pPr>
      <w:r>
        <w:rPr>
          <w:rFonts w:ascii="Arial" w:hAnsi="Arial"/>
          <w:b/>
        </w:rPr>
        <w:t xml:space="preserve">9.  </w:t>
      </w:r>
      <w:r>
        <w:rPr>
          <w:rFonts w:ascii="Arial" w:hAnsi="Arial"/>
        </w:rPr>
        <w:t xml:space="preserve">Pri akceptácii ceny uvedie Odberateľ názov Dodávateľa, rok nákupu, objem Tranže v MWh a podpíše </w:t>
      </w:r>
      <w:r>
        <w:rPr>
          <w:rFonts w:ascii="Arial" w:hAnsi="Arial"/>
          <w:b/>
        </w:rPr>
        <w:t>Konfirmáciu</w:t>
      </w:r>
      <w:r>
        <w:rPr>
          <w:rFonts w:ascii="Arial" w:hAnsi="Arial"/>
        </w:rPr>
        <w:t xml:space="preserve"> (vzor v Prílohe č. 3 Zmluvy).</w:t>
      </w:r>
    </w:p>
    <w:p>
      <w:pPr>
        <w:spacing w:before="160" w:after="60"/>
      </w:pPr>
      <w:r>
        <w:rPr>
          <w:rFonts w:ascii="Arial" w:hAnsi="Arial"/>
          <w:b/>
          <w:color w:val="2E75B6"/>
          <w:sz w:val="24"/>
        </w:rPr>
        <w:t>5.5  Záväzok dokúpenia zostávajúceho množstva</w:t>
      </w:r>
    </w:p>
    <w:p>
      <w:pPr>
        <w:spacing w:after="40"/>
        <w:ind w:left="454" w:hanging="454"/>
        <w:jc w:val="both"/>
      </w:pPr>
      <w:r>
        <w:rPr>
          <w:rFonts w:ascii="Arial" w:hAnsi="Arial"/>
          <w:b/>
        </w:rPr>
        <w:t xml:space="preserve">10.  </w:t>
      </w:r>
      <w:r>
        <w:rPr>
          <w:rFonts w:ascii="Arial" w:hAnsi="Arial"/>
        </w:rPr>
        <w:t>Po odoslaní podpísanej Konfirmácie o hodnote aspoň 50 % KZOO na daný rok sa Odberateľ zaväzuje k dokúpeniu zostávajúceho množstva KZOO na ten istý rok formou ďalších Tranží alebo automatickej fixácie podľa bodu 5.6.</w:t>
      </w:r>
    </w:p>
    <w:p>
      <w:pPr>
        <w:spacing w:before="160" w:after="60"/>
      </w:pPr>
      <w:r>
        <w:rPr>
          <w:rFonts w:ascii="Arial" w:hAnsi="Arial"/>
          <w:b/>
          <w:color w:val="2E75B6"/>
          <w:sz w:val="24"/>
        </w:rPr>
        <w:t>5.6  Automatická fixácia (deadline)</w:t>
      </w:r>
    </w:p>
    <w:p>
      <w:pPr>
        <w:spacing w:after="40"/>
        <w:ind w:left="454" w:hanging="454"/>
        <w:jc w:val="both"/>
      </w:pPr>
      <w:r>
        <w:rPr>
          <w:rFonts w:ascii="Arial" w:hAnsi="Arial"/>
          <w:b/>
        </w:rPr>
        <w:t xml:space="preserve">11.  </w:t>
      </w:r>
      <w:r>
        <w:rPr>
          <w:rFonts w:ascii="Arial" w:hAnsi="Arial"/>
        </w:rPr>
        <w:t xml:space="preserve">Zostávajúci KZOO na rok dodávky, ktorý nebude ocenený do </w:t>
      </w:r>
      <w:r>
        <w:rPr>
          <w:rFonts w:ascii="Arial" w:hAnsi="Arial"/>
          <w:b/>
        </w:rPr>
        <w:t>15. decembra</w:t>
      </w:r>
      <w:r>
        <w:rPr>
          <w:rFonts w:ascii="Arial" w:hAnsi="Arial"/>
        </w:rPr>
        <w:t xml:space="preserve"> kalendárneho roka predchádzajúceho roku dodávky, bude automaticky ocenený </w:t>
      </w:r>
      <w:r>
        <w:rPr>
          <w:rFonts w:ascii="Arial" w:hAnsi="Arial"/>
          <w:b/>
        </w:rPr>
        <w:t>Settlement cenou</w:t>
      </w:r>
      <w:r>
        <w:rPr>
          <w:rFonts w:ascii="Arial" w:hAnsi="Arial"/>
        </w:rPr>
        <w:t xml:space="preserve"> produktu „SLOVAK BASE LOAD YEAR FUTURES" na PXE zo </w:t>
      </w:r>
      <w:r>
        <w:rPr>
          <w:rFonts w:ascii="Arial" w:hAnsi="Arial"/>
          <w:b/>
        </w:rPr>
        <w:t>16. decembra</w:t>
      </w:r>
      <w:r>
        <w:rPr>
          <w:rFonts w:ascii="Arial" w:hAnsi="Arial"/>
        </w:rPr>
        <w:t xml:space="preserve"> kalendárneho roka predchádzajúceho roku dodávky.</w:t>
      </w:r>
    </w:p>
    <w:p>
      <w:pPr>
        <w:spacing w:after="40"/>
        <w:ind w:left="454" w:hanging="454"/>
        <w:jc w:val="both"/>
      </w:pPr>
      <w:r>
        <w:rPr>
          <w:rFonts w:ascii="Arial" w:hAnsi="Arial"/>
          <w:b/>
        </w:rPr>
        <w:t xml:space="preserve">12.  </w:t>
      </w:r>
      <w:r>
        <w:rPr>
          <w:rFonts w:ascii="Arial" w:hAnsi="Arial"/>
        </w:rPr>
        <w:t xml:space="preserve">Ak </w:t>
      </w:r>
      <w:r>
        <w:rPr>
          <w:rFonts w:ascii="Arial" w:hAnsi="Arial"/>
          <w:b/>
        </w:rPr>
        <w:t>16. december</w:t>
      </w:r>
      <w:r>
        <w:rPr>
          <w:rFonts w:ascii="Arial" w:hAnsi="Arial"/>
        </w:rPr>
        <w:t xml:space="preserve"> nie je obchodný deň PXE (víkend, sviatok, mimoriadne zatvorenie burzy), použije sa Settlement cena z </w:t>
      </w:r>
      <w:r>
        <w:rPr>
          <w:rFonts w:ascii="Arial" w:hAnsi="Arial"/>
          <w:b/>
        </w:rPr>
        <w:t>najbližšieho nasledujúceho obchodného dňa PXE</w:t>
      </w:r>
      <w:r>
        <w:rPr>
          <w:rFonts w:ascii="Arial" w:hAnsi="Arial"/>
        </w:rPr>
        <w:t>. Hodnota Koeficientu K sa nemení.</w:t>
      </w:r>
    </w:p>
    <w:p>
      <w:pPr>
        <w:spacing w:before="160" w:after="60"/>
      </w:pPr>
      <w:r>
        <w:rPr>
          <w:rFonts w:ascii="Arial" w:hAnsi="Arial"/>
          <w:b/>
          <w:color w:val="2E75B6"/>
          <w:sz w:val="24"/>
        </w:rPr>
        <w:t>5.7  Konečná cena pri viacerých Konfirmáciách</w:t>
      </w:r>
    </w:p>
    <w:p>
      <w:pPr>
        <w:spacing w:after="40"/>
        <w:ind w:left="454" w:hanging="454"/>
        <w:jc w:val="both"/>
      </w:pPr>
      <w:r>
        <w:rPr>
          <w:rFonts w:ascii="Arial" w:hAnsi="Arial"/>
          <w:b/>
        </w:rPr>
        <w:t xml:space="preserve">13.  </w:t>
      </w:r>
      <w:r>
        <w:rPr>
          <w:rFonts w:ascii="Arial" w:hAnsi="Arial"/>
        </w:rPr>
        <w:t xml:space="preserve">Pri viacerých čiastkových nákupoch v rámci jedného roka dodávky sa Konečná cena vypočíta ako </w:t>
      </w:r>
      <w:r>
        <w:rPr>
          <w:rFonts w:ascii="Arial" w:hAnsi="Arial"/>
          <w:b/>
        </w:rPr>
        <w:t>vážený priemer</w:t>
      </w:r>
      <w:r>
        <w:rPr>
          <w:rFonts w:ascii="Arial" w:hAnsi="Arial"/>
        </w:rPr>
        <w:t xml:space="preserve"> uzatvorených čiastkových cien podľa Konfirmácií. Vzorec:</w:t>
      </w:r>
    </w:p>
    <w:p>
      <w:pPr>
        <w:jc w:val="center"/>
      </w:pPr>
      <w:r>
        <w:rPr>
          <w:rFonts w:ascii="Arial" w:hAnsi="Arial"/>
          <w:b/>
          <w:sz w:val="24"/>
        </w:rPr>
        <w:t>Cal-rok = Σ (Cal-Xx_i × MWh_i) / Σ MWh_i</w:t>
      </w:r>
    </w:p>
    <w:p>
      <w:pPr>
        <w:spacing w:after="80"/>
        <w:jc w:val="both"/>
      </w:pPr>
      <w:r>
        <w:rPr>
          <w:rFonts w:ascii="Arial" w:hAnsi="Arial"/>
        </w:rPr>
        <w:t>kde Cal-Xx_i je cena i-tej Tranže a MWh_i je jej objem.</w:t>
      </w:r>
    </w:p>
    <w:p>
      <w:pPr>
        <w:spacing w:after="40"/>
        <w:ind w:left="454" w:hanging="454"/>
        <w:jc w:val="both"/>
      </w:pPr>
      <w:r>
        <w:rPr>
          <w:rFonts w:ascii="Arial" w:hAnsi="Arial"/>
          <w:b/>
        </w:rPr>
        <w:t xml:space="preserve">14.  </w:t>
      </w:r>
      <w:r>
        <w:rPr>
          <w:rFonts w:ascii="Arial" w:hAnsi="Arial"/>
        </w:rPr>
        <w:t xml:space="preserve">Postup je dokumentovaný v </w:t>
      </w:r>
      <w:r>
        <w:rPr>
          <w:rFonts w:ascii="Arial" w:hAnsi="Arial"/>
          <w:b/>
        </w:rPr>
        <w:t>Krycom liste</w:t>
      </w:r>
      <w:r>
        <w:rPr>
          <w:rFonts w:ascii="Arial" w:hAnsi="Arial"/>
        </w:rPr>
        <w:t xml:space="preserve"> (vzor v Prílohe č. 4 Zmluvy), ktorý Dodávateľ odošle najneskôr do 7 dní po podpísaní poslednej Konfirmácie za príslušný kalendárny rok dodávky.</w:t>
      </w:r>
    </w:p>
    <w:p>
      <w:pPr>
        <w:spacing w:before="160" w:after="60"/>
      </w:pPr>
      <w:r>
        <w:rPr>
          <w:rFonts w:ascii="Arial" w:hAnsi="Arial"/>
          <w:b/>
          <w:color w:val="2E75B6"/>
          <w:sz w:val="24"/>
        </w:rPr>
        <w:t>5.8  Záložná cenotvorba (spotový mechanizmus)</w:t>
      </w:r>
    </w:p>
    <w:p>
      <w:pPr>
        <w:spacing w:after="40"/>
        <w:ind w:left="454" w:hanging="454"/>
        <w:jc w:val="both"/>
      </w:pPr>
      <w:r>
        <w:rPr>
          <w:rFonts w:ascii="Arial" w:hAnsi="Arial"/>
          <w:b/>
        </w:rPr>
        <w:t xml:space="preserve">15.  </w:t>
      </w:r>
      <w:r>
        <w:rPr>
          <w:rFonts w:ascii="Arial" w:hAnsi="Arial"/>
        </w:rPr>
        <w:t>Ak Odberateľ neakceptuje žiadnu cenovú ponuku Dodávateľa a zároveň ani nedôjde k automatickej fixácii podľa bodu 5.6 (napr. z dôvodu výpadku trhu, krízového stavu v energetike), cena za dodávku bude stanovená cez spotový mechanizmus:</w:t>
      </w:r>
    </w:p>
    <w:p>
      <w:pPr>
        <w:spacing w:after="40"/>
        <w:ind w:left="397" w:hanging="283"/>
        <w:jc w:val="both"/>
      </w:pPr>
      <w:r>
        <w:rPr>
          <w:rFonts w:ascii="Arial" w:hAnsi="Arial"/>
        </w:rPr>
        <w:t xml:space="preserve">•  </w:t>
      </w:r>
      <w:r>
        <w:rPr>
          <w:rFonts w:ascii="Arial" w:hAnsi="Arial"/>
        </w:rPr>
        <w:t>dodávka prebieha prostredníctvom denného krátkodobého trhu zastrešeného spoločnosťou OKTE, a. s.;</w:t>
      </w:r>
    </w:p>
    <w:p>
      <w:pPr>
        <w:spacing w:after="40"/>
        <w:ind w:left="397" w:hanging="283"/>
        <w:jc w:val="both"/>
      </w:pPr>
      <w:r>
        <w:rPr>
          <w:rFonts w:ascii="Arial" w:hAnsi="Arial"/>
        </w:rPr>
        <w:t xml:space="preserve">•  </w:t>
      </w:r>
      <w:r>
        <w:rPr>
          <w:rFonts w:ascii="Arial" w:hAnsi="Arial"/>
        </w:rPr>
        <w:t xml:space="preserve">Konečná cena spot = </w:t>
      </w:r>
      <w:r>
        <w:rPr>
          <w:rFonts w:ascii="Arial" w:hAnsi="Arial"/>
          <w:b/>
        </w:rPr>
        <w:t>Aditív variabilnej zložky 7,50 EUR/MWh</w:t>
      </w:r>
      <w:r>
        <w:rPr>
          <w:rFonts w:ascii="Arial" w:hAnsi="Arial"/>
        </w:rPr>
        <w:t xml:space="preserve"> + vážený priemer hodinových cien krátkodobého denného trhu SK ISOT v kalendárnom mesiaci dodávky.</w:t>
      </w:r>
    </w:p>
    <w:p>
      <w:pPr>
        <w:spacing w:after="40"/>
        <w:ind w:left="454" w:hanging="454"/>
        <w:jc w:val="both"/>
      </w:pPr>
      <w:r>
        <w:rPr>
          <w:rFonts w:ascii="Arial" w:hAnsi="Arial"/>
          <w:b/>
        </w:rPr>
        <w:t>16.  Vážený priemer hodinových cien sa berie z denného súboru zverejneného OKTE, a. s. na www.okte.sk najneskôr do 12:00 nasledujúceho pracovného dňa; jednotková cena sa zaokrúhľuje na 4 desatinné miesta. Pre účely fakturácie sa za zúčtovacie obdobie stanoví jedna vážená priemerná cena podľa veľkosti spotreby v 15-minútovom intervale.</w:t>
      </w:r>
      <w:r>
        <w:rPr>
          <w:rFonts w:ascii="Arial" w:hAnsi="Arial"/>
        </w:rPr>
      </w:r>
      <w:r>
        <w:rPr>
          <w:rFonts w:ascii="Arial" w:hAnsi="Arial"/>
          <w:b/>
        </w:rPr>
      </w:r>
      <w:r>
        <w:rPr>
          <w:rFonts w:ascii="Arial" w:hAnsi="Arial"/>
        </w:rPr>
      </w:r>
    </w:p>
    <w:p>
      <w:pPr>
        <w:spacing w:before="160" w:after="60"/>
      </w:pPr>
      <w:r>
        <w:rPr>
          <w:rFonts w:ascii="Arial" w:hAnsi="Arial"/>
          <w:b/>
          <w:color w:val="2E75B6"/>
          <w:sz w:val="24"/>
        </w:rPr>
        <w:t>5.9  Komunikácia</w:t>
      </w:r>
    </w:p>
    <w:p>
      <w:pPr>
        <w:spacing w:after="40"/>
        <w:ind w:left="454" w:hanging="454"/>
        <w:jc w:val="both"/>
      </w:pPr>
      <w:r>
        <w:rPr>
          <w:rFonts w:ascii="Arial" w:hAnsi="Arial"/>
          <w:b/>
        </w:rPr>
        <w:t>17.  Komunikácia pri uzatváraní Tranží prebieha v slovenskom</w:t>
      </w:r>
      <w:r>
        <w:rPr>
          <w:rFonts w:ascii="Arial" w:hAnsi="Arial"/>
          <w:b/>
        </w:rPr>
        <w:t xml:space="preserve"> jazyku</w:t>
      </w:r>
      <w:r>
        <w:rPr>
          <w:rFonts w:ascii="Arial" w:hAnsi="Arial"/>
          <w:b/>
        </w:rPr>
        <w:t xml:space="preserve">, výhradne e-mailom doplneným telefonickým upozornením, prostredníctvom oprávnených osôb uvedených v Prílohe č. 2 Zmluvy.</w:t>
      </w:r>
      <w:r>
        <w:rPr>
          <w:rFonts w:ascii="Arial" w:hAnsi="Arial"/>
        </w:rPr>
      </w:r>
      <w:r>
        <w:rPr>
          <w:rFonts w:ascii="Arial" w:hAnsi="Arial"/>
          <w:b/>
        </w:rPr>
      </w:r>
      <w:r>
        <w:rPr>
          <w:rFonts w:ascii="Arial" w:hAnsi="Arial"/>
        </w:rPr>
      </w:r>
    </w:p>
    <w:p>
      <w:pPr>
        <w:spacing w:after="40"/>
        <w:ind w:left="454" w:hanging="454"/>
        <w:jc w:val="both"/>
      </w:pPr>
      <w:r>
        <w:rPr>
          <w:rFonts w:ascii="Arial" w:hAnsi="Arial"/>
          <w:b/>
        </w:rPr>
        <w:t xml:space="preserve">18.  </w:t>
      </w:r>
      <w:r>
        <w:rPr>
          <w:rFonts w:ascii="Arial" w:hAnsi="Arial"/>
        </w:rPr>
        <w:t>Zmena oprávnenej osoby je možná iba na základe písomného oznámenia druhej Zmluvnej strane s účinnosťou nasledujúci pracovný deň.</w:t>
      </w:r>
    </w:p>
    <w:p>
      <w:pPr>
        <w:spacing w:before="280" w:after="120"/>
        <w:jc w:val="center"/>
      </w:pPr>
      <w:r>
        <w:rPr>
          <w:rFonts w:ascii="Arial" w:hAnsi="Arial"/>
          <w:b/>
          <w:color w:val="1F4E78"/>
          <w:sz w:val="30"/>
        </w:rPr>
        <w:t>Článok VI.   Platobné podmienky a preddavky</w:t>
      </w:r>
    </w:p>
    <w:p>
      <w:pPr>
        <w:spacing w:before="160" w:after="60"/>
      </w:pPr>
      <w:r>
        <w:rPr>
          <w:rFonts w:ascii="Arial" w:hAnsi="Arial"/>
          <w:b/>
          <w:color w:val="2E75B6"/>
          <w:sz w:val="24"/>
        </w:rPr>
        <w:t>6.1  Preddavky</w:t>
      </w:r>
    </w:p>
    <w:p>
      <w:pPr>
        <w:spacing w:after="40"/>
        <w:ind w:left="454" w:hanging="454"/>
        <w:jc w:val="both"/>
      </w:pPr>
      <w:r>
        <w:rPr>
          <w:rFonts w:ascii="Arial" w:hAnsi="Arial"/>
          <w:b/>
        </w:rPr>
        <w:t xml:space="preserve">1.  </w:t>
      </w:r>
      <w:r>
        <w:rPr>
          <w:rFonts w:ascii="Arial" w:hAnsi="Arial"/>
        </w:rPr>
        <w:t xml:space="preserve">Odberateľ uhrádza preddavok vo výške </w:t>
      </w:r>
      <w:r>
        <w:rPr>
          <w:rFonts w:ascii="Arial" w:hAnsi="Arial"/>
          <w:b/>
        </w:rPr>
        <w:t>80 %</w:t>
      </w:r>
      <w:r>
        <w:rPr>
          <w:rFonts w:ascii="Arial" w:hAnsi="Arial"/>
        </w:rPr>
        <w:t xml:space="preserve"> predpokladanej ceny mesačnej dodávky do všetkých OM.</w:t>
      </w:r>
    </w:p>
    <w:p>
      <w:pPr>
        <w:spacing w:after="40"/>
        <w:ind w:left="454" w:hanging="454"/>
        <w:jc w:val="both"/>
      </w:pPr>
      <w:r>
        <w:rPr>
          <w:rFonts w:ascii="Arial" w:hAnsi="Arial"/>
          <w:b/>
        </w:rPr>
        <w:t xml:space="preserve">2.  </w:t>
      </w:r>
      <w:r>
        <w:rPr>
          <w:rFonts w:ascii="Arial" w:hAnsi="Arial"/>
        </w:rPr>
        <w:t>Predpokladaná cena mesačnej dodávky = 1/12 ročného zmluvného množstva.</w:t>
      </w:r>
    </w:p>
    <w:p>
      <w:pPr>
        <w:spacing w:after="40"/>
        <w:ind w:left="454" w:hanging="454"/>
        <w:jc w:val="both"/>
      </w:pPr>
      <w:r>
        <w:rPr>
          <w:rFonts w:ascii="Arial" w:hAnsi="Arial"/>
          <w:b/>
        </w:rPr>
        <w:t xml:space="preserve">3.  </w:t>
      </w:r>
      <w:r>
        <w:rPr>
          <w:rFonts w:ascii="Arial" w:hAnsi="Arial"/>
        </w:rPr>
        <w:t xml:space="preserve">Splatnosť preddavku: </w:t>
      </w:r>
      <w:r>
        <w:rPr>
          <w:rFonts w:ascii="Arial" w:hAnsi="Arial"/>
          <w:b/>
        </w:rPr>
        <w:t>k 22. dňu kalendárneho mesiaca</w:t>
      </w:r>
      <w:r>
        <w:rPr>
          <w:rFonts w:ascii="Arial" w:hAnsi="Arial"/>
        </w:rPr>
        <w:t>.</w:t>
      </w:r>
    </w:p>
    <w:p>
      <w:pPr>
        <w:spacing w:after="40"/>
        <w:ind w:left="454" w:hanging="454"/>
        <w:jc w:val="both"/>
      </w:pPr>
      <w:r>
        <w:rPr>
          <w:rFonts w:ascii="Arial" w:hAnsi="Arial"/>
          <w:b/>
        </w:rPr>
        <w:t xml:space="preserve">4.  </w:t>
      </w:r>
      <w:r>
        <w:rPr>
          <w:rFonts w:ascii="Arial" w:hAnsi="Arial"/>
        </w:rPr>
        <w:t xml:space="preserve">Dodávateľ doručí informáciu o výške preddavku Odberateľovi minimálne </w:t>
      </w:r>
      <w:r>
        <w:rPr>
          <w:rFonts w:ascii="Arial" w:hAnsi="Arial"/>
          <w:b/>
        </w:rPr>
        <w:t>17 dní</w:t>
      </w:r>
      <w:r>
        <w:rPr>
          <w:rFonts w:ascii="Arial" w:hAnsi="Arial"/>
        </w:rPr>
        <w:t xml:space="preserve"> pred 22. dňom mesiaca; pri omeškaní sa lehota splatnosti predlžuje deň za deň.</w:t>
      </w:r>
    </w:p>
    <w:p>
      <w:pPr>
        <w:spacing w:after="40"/>
        <w:ind w:left="454" w:hanging="454"/>
        <w:jc w:val="both"/>
      </w:pPr>
      <w:r>
        <w:rPr>
          <w:rFonts w:ascii="Arial" w:hAnsi="Arial"/>
          <w:b/>
        </w:rPr>
        <w:t xml:space="preserve">5.  </w:t>
      </w:r>
      <w:r>
        <w:rPr>
          <w:rFonts w:ascii="Arial" w:hAnsi="Arial"/>
        </w:rPr>
        <w:t xml:space="preserve">Vydokladovanie spôsobu určenia preddavku do </w:t>
      </w:r>
      <w:r>
        <w:rPr>
          <w:rFonts w:ascii="Arial" w:hAnsi="Arial"/>
          <w:b/>
        </w:rPr>
        <w:t>30 dní</w:t>
      </w:r>
      <w:r>
        <w:rPr>
          <w:rFonts w:ascii="Arial" w:hAnsi="Arial"/>
        </w:rPr>
        <w:t xml:space="preserve"> od žiadosti Odberateľa.</w:t>
      </w:r>
    </w:p>
    <w:p>
      <w:pPr>
        <w:spacing w:after="40"/>
        <w:ind w:left="454" w:hanging="454"/>
        <w:jc w:val="both"/>
      </w:pPr>
      <w:r>
        <w:rPr>
          <w:rFonts w:ascii="Arial" w:hAnsi="Arial"/>
          <w:b/>
        </w:rPr>
        <w:t xml:space="preserve">6.  </w:t>
      </w:r>
      <w:r>
        <w:rPr>
          <w:rFonts w:ascii="Arial" w:hAnsi="Arial"/>
        </w:rPr>
        <w:t>Vyúčtovanie preddavkov sa vykonáva vo vyúčtovacej faktúre. Prípadný preplatok sa vracia Odberateľovi do 22 dní od vystavenia vyúčtovacej faktúry, nedoplatok je splatný v lehote splatnosti vyúčtovacej faktúry.</w:t>
      </w:r>
    </w:p>
    <w:p>
      <w:pPr>
        <w:spacing w:before="160" w:after="60"/>
      </w:pPr>
      <w:r>
        <w:rPr>
          <w:rFonts w:ascii="Arial" w:hAnsi="Arial"/>
          <w:b/>
          <w:color w:val="2E75B6"/>
          <w:sz w:val="24"/>
        </w:rPr>
        <w:t>6.2  Vyúčtovacia faktúra</w:t>
      </w:r>
    </w:p>
    <w:p>
      <w:pPr>
        <w:spacing w:after="40"/>
        <w:ind w:left="454" w:hanging="454"/>
        <w:jc w:val="both"/>
      </w:pPr>
      <w:r>
        <w:rPr>
          <w:rFonts w:ascii="Arial" w:hAnsi="Arial"/>
          <w:b/>
        </w:rPr>
        <w:t xml:space="preserve">7.  </w:t>
      </w:r>
      <w:r>
        <w:rPr>
          <w:rFonts w:ascii="Arial" w:hAnsi="Arial"/>
        </w:rPr>
        <w:t>Vyúčtovacia faktúra sa vystavuje po doručení nameraných hodnôt od PDS.</w:t>
      </w:r>
    </w:p>
    <w:p>
      <w:pPr>
        <w:spacing w:after="40"/>
        <w:ind w:left="454" w:hanging="454"/>
        <w:jc w:val="both"/>
      </w:pPr>
      <w:r>
        <w:rPr>
          <w:rFonts w:ascii="Arial" w:hAnsi="Arial"/>
          <w:b/>
        </w:rPr>
        <w:t xml:space="preserve">8.  </w:t>
      </w:r>
      <w:r>
        <w:rPr>
          <w:rFonts w:ascii="Arial" w:hAnsi="Arial"/>
        </w:rPr>
        <w:t xml:space="preserve">Dodávateľ vystaví faktúru najneskôr do </w:t>
      </w:r>
      <w:r>
        <w:rPr>
          <w:rFonts w:ascii="Arial" w:hAnsi="Arial"/>
          <w:b/>
        </w:rPr>
        <w:t>15 dní</w:t>
      </w:r>
      <w:r>
        <w:rPr>
          <w:rFonts w:ascii="Arial" w:hAnsi="Arial"/>
        </w:rPr>
        <w:t xml:space="preserve"> od doručenia nameraných hodnôt od PDS.</w:t>
      </w:r>
    </w:p>
    <w:p>
      <w:pPr>
        <w:spacing w:after="40"/>
        <w:ind w:left="454" w:hanging="454"/>
        <w:jc w:val="both"/>
      </w:pPr>
      <w:r>
        <w:rPr>
          <w:rFonts w:ascii="Arial" w:hAnsi="Arial"/>
          <w:b/>
        </w:rPr>
        <w:t xml:space="preserve">9.  </w:t>
      </w:r>
      <w:r>
        <w:rPr>
          <w:rFonts w:ascii="Arial" w:hAnsi="Arial"/>
        </w:rPr>
        <w:t>OM s mesačným odpočtom – faktúra k poslednému dňu mesiaca; OM s ročným odpočtom – podľa odpočtových cyklov PDS.</w:t>
      </w:r>
    </w:p>
    <w:p>
      <w:pPr>
        <w:spacing w:after="40"/>
        <w:ind w:left="454" w:hanging="454"/>
        <w:jc w:val="both"/>
      </w:pPr>
      <w:r>
        <w:rPr>
          <w:rFonts w:ascii="Arial" w:hAnsi="Arial"/>
          <w:b/>
        </w:rPr>
        <w:t xml:space="preserve">10.  </w:t>
      </w:r>
      <w:r>
        <w:rPr>
          <w:rFonts w:ascii="Arial" w:hAnsi="Arial"/>
        </w:rPr>
        <w:t xml:space="preserve">Lehota splatnosti faktúry: </w:t>
      </w:r>
      <w:r>
        <w:rPr>
          <w:rFonts w:ascii="Arial" w:hAnsi="Arial"/>
          <w:b/>
        </w:rPr>
        <w:t>22 kalendárnych dní</w:t>
      </w:r>
      <w:r>
        <w:rPr>
          <w:rFonts w:ascii="Arial" w:hAnsi="Arial"/>
        </w:rPr>
        <w:t xml:space="preserve"> odo dňa doručenia Odberateľovi.</w:t>
      </w:r>
    </w:p>
    <w:p>
      <w:pPr>
        <w:spacing w:after="40"/>
        <w:ind w:left="454" w:hanging="454"/>
        <w:jc w:val="both"/>
      </w:pPr>
      <w:r>
        <w:rPr>
          <w:rFonts w:ascii="Arial" w:hAnsi="Arial"/>
          <w:b/>
        </w:rPr>
        <w:t xml:space="preserve">11.  </w:t>
      </w:r>
      <w:r>
        <w:rPr>
          <w:rFonts w:ascii="Arial" w:hAnsi="Arial"/>
        </w:rPr>
        <w:t>Pri chybnej faktúre právo Odberateľa vrátiť ju na opravu; lehota splatnosti začína plynúť odznova.</w:t>
      </w:r>
    </w:p>
    <w:p>
      <w:pPr>
        <w:spacing w:before="160" w:after="60"/>
      </w:pPr>
      <w:r>
        <w:rPr>
          <w:rFonts w:ascii="Arial" w:hAnsi="Arial"/>
          <w:b/>
          <w:color w:val="2E75B6"/>
          <w:sz w:val="24"/>
        </w:rPr>
        <w:t>6.3  Elektronická fakturácia</w:t>
      </w:r>
    </w:p>
    <w:p>
      <w:pPr>
        <w:spacing w:after="40"/>
        <w:ind w:left="454" w:hanging="454"/>
        <w:jc w:val="both"/>
      </w:pPr>
      <w:r>
        <w:rPr>
          <w:rFonts w:ascii="Arial" w:hAnsi="Arial"/>
          <w:b/>
        </w:rPr>
        <w:t xml:space="preserve">12.  </w:t>
      </w:r>
      <w:r>
        <w:rPr>
          <w:rFonts w:ascii="Arial" w:hAnsi="Arial"/>
        </w:rPr>
        <w:t xml:space="preserve">Elektronická fakturácia je akceptovaná v zmysle </w:t>
      </w:r>
      <w:r>
        <w:rPr>
          <w:rFonts w:ascii="Arial" w:hAnsi="Arial"/>
          <w:b/>
        </w:rPr>
        <w:t>zákona č. 215/2019 Z. z.</w:t>
      </w:r>
      <w:r>
        <w:rPr>
          <w:rFonts w:ascii="Arial" w:hAnsi="Arial"/>
        </w:rPr>
        <w:t xml:space="preserve"> o zaručenej elektronickej fakturácii a centrálnom ekonomickom systéme a zákona č. 222/2004 Z. z. o DPH. Dodávateľ je oprávnený zasielať Odberateľovi zaručené elektronické faktúry vo formáte </w:t>
      </w:r>
      <w:r>
        <w:rPr>
          <w:rFonts w:ascii="Arial" w:hAnsi="Arial"/>
          <w:b/>
        </w:rPr>
        <w:t>EN 16931</w:t>
      </w:r>
      <w:r>
        <w:rPr>
          <w:rFonts w:ascii="Arial" w:hAnsi="Arial"/>
        </w:rPr>
        <w:t xml:space="preserve"> (ISDOC/PEPPOL).</w:t>
      </w:r>
    </w:p>
    <w:p>
      <w:pPr>
        <w:spacing w:before="160" w:after="60"/>
      </w:pPr>
      <w:r>
        <w:rPr>
          <w:rFonts w:ascii="Arial" w:hAnsi="Arial"/>
          <w:b/>
          <w:color w:val="2E75B6"/>
          <w:sz w:val="24"/>
        </w:rPr>
        <w:t>6.4  Náležitosti faktúry</w:t>
      </w:r>
    </w:p>
    <w:p>
      <w:pPr>
        <w:spacing w:after="80"/>
        <w:jc w:val="both"/>
      </w:pPr>
      <w:r>
        <w:rPr>
          <w:rFonts w:ascii="Arial" w:hAnsi="Arial"/>
        </w:rPr>
        <w:t>Faktúra musí obsahovať najmä:</w:t>
      </w:r>
    </w:p>
    <w:p>
      <w:pPr>
        <w:spacing w:after="40"/>
        <w:ind w:left="397" w:hanging="283"/>
        <w:jc w:val="both"/>
      </w:pPr>
      <w:r>
        <w:rPr>
          <w:rFonts w:ascii="Arial" w:hAnsi="Arial"/>
        </w:rPr>
        <w:t xml:space="preserve">•  </w:t>
      </w:r>
      <w:r>
        <w:rPr>
          <w:rFonts w:ascii="Arial" w:hAnsi="Arial"/>
        </w:rPr>
        <w:t>identifikačné údaje Dodávateľa a Odberateľa; číslo faktúry, dátum vystavenia, dátum dodania, dátum splatnosti;</w:t>
      </w:r>
    </w:p>
    <w:p>
      <w:pPr>
        <w:spacing w:after="40"/>
        <w:ind w:left="397" w:hanging="283"/>
        <w:jc w:val="both"/>
      </w:pPr>
      <w:r>
        <w:rPr>
          <w:rFonts w:ascii="Arial" w:hAnsi="Arial"/>
        </w:rPr>
        <w:t xml:space="preserve">•  </w:t>
      </w:r>
      <w:r>
        <w:rPr>
          <w:rFonts w:ascii="Arial" w:hAnsi="Arial"/>
        </w:rPr>
        <w:t>špecifikáciu OM, ktorých sa faktúra týka;</w:t>
      </w:r>
    </w:p>
    <w:p>
      <w:pPr>
        <w:spacing w:after="40"/>
        <w:ind w:left="397" w:hanging="283"/>
        <w:jc w:val="both"/>
      </w:pPr>
      <w:r>
        <w:rPr>
          <w:rFonts w:ascii="Arial" w:hAnsi="Arial"/>
        </w:rPr>
        <w:t xml:space="preserve">•  </w:t>
      </w:r>
      <w:r>
        <w:rPr>
          <w:rFonts w:ascii="Arial" w:hAnsi="Arial"/>
        </w:rPr>
        <w:t>namerané hodnoty spotreby v MWh, prípadne odhad spotreby pri preddavkovej faktúre;</w:t>
      </w:r>
    </w:p>
    <w:p>
      <w:pPr>
        <w:spacing w:after="40"/>
        <w:ind w:left="397" w:hanging="283"/>
        <w:jc w:val="both"/>
      </w:pPr>
      <w:r>
        <w:rPr>
          <w:rFonts w:ascii="Arial" w:hAnsi="Arial"/>
        </w:rPr>
        <w:t xml:space="preserve">•  </w:t>
      </w:r>
      <w:r>
        <w:rPr>
          <w:rFonts w:ascii="Arial" w:hAnsi="Arial"/>
        </w:rPr>
        <w:t>rozpis ceny: silová elektrina (K + Cal-Xx) × objem;</w:t>
      </w:r>
    </w:p>
    <w:p>
      <w:pPr>
        <w:spacing w:after="40"/>
        <w:ind w:left="397" w:hanging="283"/>
        <w:jc w:val="both"/>
      </w:pPr>
      <w:r>
        <w:rPr>
          <w:rFonts w:ascii="Arial" w:hAnsi="Arial"/>
        </w:rPr>
        <w:t xml:space="preserve">•  </w:t>
      </w:r>
      <w:r>
        <w:rPr>
          <w:rFonts w:ascii="Arial" w:hAnsi="Arial"/>
        </w:rPr>
        <w:t>rozpis distribučných poplatkov (pass-through) so zreteľnou identifikáciou cenového rozhodnutia ÚRSO;</w:t>
      </w:r>
    </w:p>
    <w:p>
      <w:pPr>
        <w:spacing w:after="40"/>
        <w:ind w:left="397" w:hanging="283"/>
        <w:jc w:val="both"/>
      </w:pPr>
      <w:r>
        <w:rPr>
          <w:rFonts w:ascii="Arial" w:hAnsi="Arial"/>
        </w:rPr>
        <w:t xml:space="preserve">•  </w:t>
      </w:r>
      <w:r>
        <w:rPr>
          <w:rFonts w:ascii="Arial" w:hAnsi="Arial"/>
        </w:rPr>
        <w:t>DPH, spotrebná daň a iné regulované zložky koncovej ceny elektriny;</w:t>
      </w:r>
    </w:p>
    <w:p>
      <w:pPr>
        <w:spacing w:after="40"/>
        <w:ind w:left="397" w:hanging="283"/>
        <w:jc w:val="both"/>
      </w:pPr>
      <w:r>
        <w:rPr>
          <w:rFonts w:ascii="Arial" w:hAnsi="Arial"/>
        </w:rPr>
        <w:t xml:space="preserve">•  </w:t>
      </w:r>
      <w:r>
        <w:rPr>
          <w:rFonts w:ascii="Arial" w:hAnsi="Arial"/>
        </w:rPr>
        <w:t>celková suma na úhradu, bankové spojenie.</w:t>
      </w:r>
    </w:p>
    <w:p>
      <w:pPr>
        <w:spacing w:before="280" w:after="120"/>
        <w:jc w:val="center"/>
      </w:pPr>
      <w:r>
        <w:rPr>
          <w:rFonts w:ascii="Arial" w:hAnsi="Arial"/>
          <w:b/>
          <w:color w:val="1F4E78"/>
          <w:sz w:val="30"/>
        </w:rPr>
        <w:t>Článok VII.   Sankcie a úroky z omeškania</w:t>
      </w:r>
    </w:p>
    <w:p>
      <w:pPr>
        <w:spacing w:before="160" w:after="60"/>
      </w:pPr>
      <w:r>
        <w:rPr>
          <w:rFonts w:ascii="Arial" w:hAnsi="Arial"/>
          <w:b/>
          <w:color w:val="2E75B6"/>
          <w:sz w:val="24"/>
        </w:rPr>
        <w:t>7.1  Úroky z omeškania</w:t>
      </w:r>
    </w:p>
    <w:p>
      <w:pPr>
        <w:spacing w:after="40"/>
        <w:ind w:left="454" w:hanging="454"/>
        <w:jc w:val="both"/>
      </w:pPr>
      <w:r>
        <w:rPr>
          <w:rFonts w:ascii="Arial" w:hAnsi="Arial"/>
          <w:b/>
        </w:rPr>
        <w:t xml:space="preserve">1.  </w:t>
      </w:r>
      <w:r>
        <w:rPr>
          <w:rFonts w:ascii="Arial" w:hAnsi="Arial"/>
        </w:rPr>
        <w:t xml:space="preserve">Pri omeškaní Odberateľa s platbou faktúry je Dodávateľ oprávnený účtovať úrok z omeškania vo výške </w:t>
      </w:r>
      <w:r>
        <w:rPr>
          <w:rFonts w:ascii="Arial" w:hAnsi="Arial"/>
          <w:b/>
        </w:rPr>
        <w:t>0,025 % z dlžnej sumy za každý deň omeškania</w:t>
      </w:r>
      <w:r>
        <w:rPr>
          <w:rFonts w:ascii="Arial" w:hAnsi="Arial"/>
        </w:rPr>
        <w:t>, v súlade s § 369 ods. 1 Obchodného zákonníka.</w:t>
      </w:r>
    </w:p>
    <w:p>
      <w:pPr>
        <w:spacing w:after="40"/>
        <w:ind w:left="454" w:hanging="454"/>
        <w:jc w:val="both"/>
      </w:pPr>
      <w:r>
        <w:rPr>
          <w:rFonts w:ascii="Arial" w:hAnsi="Arial"/>
          <w:b/>
        </w:rPr>
        <w:t>2.  Pri omeškaní Dodávateľa s plnením akéhokoľvek peňažného záväzku je Odberateľ oprávnený účtovať úrok z omeškania vo výške 0,025 % z dlžnej sumy za každý deň omeškania.</w:t>
      </w:r>
      <w:r>
        <w:rPr>
          <w:rFonts w:ascii="Arial" w:hAnsi="Arial"/>
        </w:rPr>
      </w:r>
      <w:r>
        <w:rPr>
          <w:rFonts w:ascii="Arial" w:hAnsi="Arial"/>
          <w:b/>
        </w:rPr>
      </w:r>
      <w:r>
        <w:rPr>
          <w:rFonts w:ascii="Arial" w:hAnsi="Arial"/>
        </w:rPr>
      </w:r>
    </w:p>
    <w:p>
      <w:pPr>
        <w:spacing w:before="160" w:after="60"/>
      </w:pPr>
      <w:r>
        <w:rPr>
          <w:rFonts w:ascii="Arial" w:hAnsi="Arial"/>
          <w:b/>
          <w:color w:val="2E75B6"/>
          <w:sz w:val="24"/>
        </w:rPr>
        <w:t>7.2  Zmluvné pokuty</w:t>
      </w:r>
    </w:p>
    <w:p>
      <w:pPr>
        <w:spacing w:after="80"/>
        <w:jc w:val="both"/>
      </w:pPr>
      <w:r>
        <w:rPr>
          <w:rFonts w:ascii="Arial" w:hAnsi="Arial"/>
        </w:rPr>
        <w:t/>
      </w:r>
      <w:r>
        <w:rPr>
          <w:rFonts w:ascii="Arial" w:hAnsi="Arial"/>
        </w:rPr>
        <w:t xml:space="preserve">1.  </w:t>
      </w:r>
      <w:r>
        <w:rPr>
          <w:rFonts w:ascii="Arial" w:hAnsi="Arial"/>
        </w:rPr>
        <w:t xml:space="preserve">V prípade porušenia povinností sa uplatňujú nasledovné zmluvné pokuty:</w:t>
      </w:r>
    </w:p>
    <w:tbl>
      <w:tblPr>
        <w:tblStyle w:val="LightGrid-Accent1"/>
        <w:tblW w:type="auto" w:w="0"/>
        <w:tblLook w:firstColumn="1" w:firstRow="1" w:lastColumn="0" w:lastRow="0" w:noHBand="0" w:noVBand="1" w:val="04A0"/>
      </w:tblPr>
      <w:tblGrid>
        <w:gridCol w:w="5043"/>
        <w:gridCol w:w="5043"/>
      </w:tblGrid>
      <w:tr>
        <w:tc>
          <w:tcPr>
            <w:tcW w:type="dxa" w:w="5043"/>
            <w:shd w:fill="1F4E78"/>
          </w:tcPr>
          <w:p>
            <w:r/>
            <w:r>
              <w:rPr>
                <w:rFonts w:ascii="Arial" w:hAnsi="Arial"/>
                <w:b/>
                <w:color w:val="FFFFFF"/>
              </w:rPr>
              <w:t>Skutočnosť</w:t>
            </w:r>
          </w:p>
        </w:tc>
        <w:tc>
          <w:tcPr>
            <w:tcW w:type="dxa" w:w="5043"/>
            <w:shd w:fill="1F4E78"/>
          </w:tcPr>
          <w:p>
            <w:r/>
            <w:r>
              <w:rPr>
                <w:rFonts w:ascii="Arial" w:hAnsi="Arial"/>
                <w:b/>
                <w:color w:val="FFFFFF"/>
              </w:rPr>
              <w:t>Zmluvná pokuta</w:t>
            </w:r>
          </w:p>
        </w:tc>
      </w:tr>
      <w:tr>
        <w:tc>
          <w:tcPr>
            <w:tcW w:type="dxa" w:w="5043"/>
          </w:tcPr>
          <w:p>
            <w:r/>
            <w:r>
              <w:rPr>
                <w:rFonts w:ascii="Arial" w:hAnsi="Arial"/>
              </w:rPr>
              <w:t>Odber Odberateľa pod hranicou DTS (pod − 25 % KZOO za kalendárny rok)</w:t>
            </w:r>
          </w:p>
        </w:tc>
        <w:tc>
          <w:tcPr>
            <w:tcW w:type="dxa" w:w="5043"/>
          </w:tcPr>
          <w:p>
            <w:r/>
            <w:r>
              <w:rPr>
                <w:rFonts w:ascii="Arial" w:hAnsi="Arial"/>
              </w:rPr>
              <w:t>15,00 EUR za každú MWh pod hranicou DTS</w:t>
            </w:r>
          </w:p>
        </w:tc>
      </w:tr>
      <w:tr>
        <w:tc>
          <w:tcPr>
            <w:tcW w:type="dxa" w:w="5043"/>
          </w:tcPr>
          <w:p>
            <w:r/>
            <w:r>
              <w:rPr>
                <w:rFonts w:ascii="Arial" w:hAnsi="Arial"/>
              </w:rPr>
              <w:t>Odber Odberateľa nad hranicou HTS (nad + 25 % KZOO za kalendárny rok)</w:t>
            </w:r>
          </w:p>
        </w:tc>
        <w:tc>
          <w:tcPr>
            <w:tcW w:type="dxa" w:w="5043"/>
          </w:tcPr>
          <w:p>
            <w:r/>
            <w:r>
              <w:rPr>
                <w:rFonts w:ascii="Arial" w:hAnsi="Arial"/>
              </w:rPr>
              <w:t>15,00 EUR za každú MWh nad hranicou HTS</w:t>
            </w:r>
          </w:p>
        </w:tc>
      </w:tr>
      <w:tr>
        <w:tc>
          <w:tcPr>
            <w:tcW w:type="dxa" w:w="5043"/>
          </w:tcPr>
          <w:p>
            <w:r/>
            <w:r>
              <w:rPr>
                <w:rFonts w:ascii="Arial" w:hAnsi="Arial"/>
              </w:rPr>
              <w:t>Porušenie povinností Dodávateľa pri Subdodávkach (Článok VIII bod 8.4)</w:t>
            </w:r>
          </w:p>
        </w:tc>
        <w:tc>
          <w:tcPr>
            <w:tcW w:type="dxa" w:w="5043"/>
          </w:tcPr>
          <w:p>
            <w:r/>
            <w:r>
              <w:rPr>
                <w:rFonts w:ascii="Arial" w:hAnsi="Arial"/>
              </w:rPr>
              <w:t>5 % z hodnoty predmetu zákazky za každé porušenie + právo Odberateľa odstúpiť od Zmluvy</w:t>
            </w:r>
          </w:p>
        </w:tc>
      </w:tr>
      <w:tr>
        <w:tc>
          <w:tcPr>
            <w:tcW w:type="dxa" w:w="5043"/>
          </w:tcPr>
          <w:p>
            <w:r/>
            <w:r>
              <w:rPr>
                <w:rFonts w:ascii="Arial" w:hAnsi="Arial"/>
              </w:rPr>
              <w:t>Omeškanie Dodávateľa s vystavením Konfirmácie / Krycieho listu o viac ako 10 pracovných dní</w:t>
            </w:r>
          </w:p>
        </w:tc>
        <w:tc>
          <w:tcPr>
            <w:tcW w:type="dxa" w:w="5043"/>
          </w:tcPr>
          <w:p>
            <w:r/>
            <w:r>
              <w:rPr>
                <w:rFonts w:ascii="Arial" w:hAnsi="Arial"/>
              </w:rPr>
              <w:t>100,00 EUR za každý deň omeškania</w:t>
            </w:r>
          </w:p>
        </w:tc>
      </w:tr>
      <w:tr>
        <w:tc>
          <w:tcPr>
            <w:tcW w:type="dxa" w:w="5043"/>
          </w:tcPr>
          <w:p>
            <w:r/>
            <w:r>
              <w:rPr>
                <w:rFonts w:ascii="Arial" w:hAnsi="Arial"/>
              </w:rPr>
              <w:t>Omeškanie Dodávateľa s dodávkou elektriny do OM o viac ako 5 pracovných dní (mimo prípadov vyššej moci)</w:t>
            </w:r>
          </w:p>
        </w:tc>
        <w:tc>
          <w:tcPr>
            <w:tcW w:type="dxa" w:w="5043"/>
          </w:tcPr>
          <w:p>
            <w:r/>
            <w:r>
              <w:rPr>
                <w:rFonts w:ascii="Arial" w:hAnsi="Arial"/>
              </w:rPr>
              <w:t>0,05 % z predpokladaného mesačného objemu dodávky za každý deň omeškania + právo Odberateľa odstúpiť od Zmluvy</w:t>
            </w:r>
          </w:p>
        </w:tc>
      </w:tr>
    </w:tbl>
    <w:p>
      <w:pPr>
        <w:spacing w:before="160" w:after="60"/>
      </w:pPr>
    </w:p>
    <w:p>
      <w:r>
        <w:rPr>
          <w:rFonts w:ascii="Arial" w:hAnsi="Arial"/>
          <w:sz w:val="20"/>
        </w:rPr>
        <w:t>2.  Odberateľ je oprávnený požadovať od Dodávateľa v prípade porušenia akejkoľvek povinnosti Dodávateľa podľa tejto Rámcovej dohody (ak porušenie tejto povinnosti nie je sankcionované inou zmluvnou pokutou podľa niektorého ustanovenia tejto Rámcovej dohody) aj zaplatenie zmluvnej pokuty:</w:t>
      </w:r>
    </w:p>
    <w:p>
      <w:r>
        <w:rPr>
          <w:rFonts w:ascii="Arial" w:hAnsi="Arial"/>
          <w:sz w:val="20"/>
        </w:rPr>
        <w:t>a)  vo výške 100 EUR za každý kalendárny deň omeškania Dodávateľa so splnením povinností podľa tejto Rámcovej dohody až do ich riadneho splnenia, a to pri tých povinnostiach, pri ktorých je možné omeškanie, alebo</w:t>
      </w:r>
    </w:p>
    <w:p>
      <w:r>
        <w:rPr>
          <w:rFonts w:ascii="Arial" w:hAnsi="Arial"/>
          <w:sz w:val="20"/>
        </w:rPr>
        <w:t>b)  vo výške 500 EUR pri tých povinnostiach, pri ktorých porušenie nie je možné napraviť dodatočným riadnym plnením zo strany Dodávateľa.</w:t>
      </w:r>
    </w:p>
    <w:p>
      <w:pPr>
        <w:spacing w:before="160" w:after="60"/>
      </w:pPr>
      <w:r>
        <w:rPr>
          <w:rFonts w:ascii="Arial" w:hAnsi="Arial"/>
          <w:b/>
          <w:color w:val="2E75B6"/>
          <w:sz w:val="24"/>
        </w:rPr>
        <w:t xml:space="preserve">7.3  Splatnosť a vymáhanie pokút</w:t>
      </w:r>
    </w:p>
    <w:p>
      <w:pPr>
        <w:spacing w:after="40"/>
        <w:ind w:left="454" w:hanging="454"/>
        <w:jc w:val="both"/>
      </w:pPr>
      <w:r>
        <w:rPr>
          <w:rFonts w:ascii="Arial" w:hAnsi="Arial"/>
          <w:b/>
        </w:rPr>
        <w:t xml:space="preserve">3.  </w:t>
      </w:r>
      <w:r>
        <w:rPr>
          <w:rFonts w:ascii="Arial" w:hAnsi="Arial"/>
        </w:rPr>
        <w:t xml:space="preserve">Zmluvné pokuty sú splatné do </w:t>
      </w:r>
      <w:r>
        <w:rPr>
          <w:rFonts w:ascii="Arial" w:hAnsi="Arial"/>
          <w:b/>
        </w:rPr>
        <w:t>30 dní</w:t>
      </w:r>
      <w:r>
        <w:rPr>
          <w:rFonts w:ascii="Arial" w:hAnsi="Arial"/>
        </w:rPr>
        <w:t xml:space="preserve"> od doručenia výzvy na ich zaplatenie.</w:t>
      </w:r>
    </w:p>
    <w:p>
      <w:pPr>
        <w:spacing w:after="40"/>
        <w:ind w:left="454" w:hanging="454"/>
        <w:jc w:val="both"/>
      </w:pPr>
      <w:r>
        <w:rPr>
          <w:rFonts w:ascii="Arial" w:hAnsi="Arial"/>
          <w:b/>
        </w:rPr>
        <w:t xml:space="preserve">4.  </w:t>
      </w:r>
      <w:r>
        <w:rPr>
          <w:rFonts w:ascii="Arial" w:hAnsi="Arial"/>
        </w:rPr>
        <w:t>Nárok na zmluvnú pokutu nevylučuje nárok na náhradu škody. Náhrada škody sa môže uplatniť aj nad rámec zmluvnej pokuty.</w:t>
      </w:r>
    </w:p>
    <w:p>
      <w:pPr>
        <w:spacing w:after="40"/>
        <w:ind w:left="454" w:hanging="454"/>
        <w:jc w:val="both"/>
      </w:pPr>
      <w:r>
        <w:rPr>
          <w:rFonts w:ascii="Arial" w:hAnsi="Arial"/>
          <w:b/>
        </w:rPr>
        <w:t xml:space="preserve">5.  </w:t>
      </w:r>
      <w:r>
        <w:rPr>
          <w:rFonts w:ascii="Arial" w:hAnsi="Arial"/>
        </w:rPr>
        <w:t>Zmluvné pokuty sa neuplatňujú v prípade vyššej moci (Článok X).</w:t>
      </w:r>
    </w:p>
    <w:p>
      <w:pPr>
        <w:spacing w:before="280" w:after="120"/>
        <w:jc w:val="center"/>
      </w:pPr>
      <w:r>
        <w:rPr>
          <w:rFonts w:ascii="Arial" w:hAnsi="Arial"/>
          <w:b/>
          <w:color w:val="1F4E78"/>
          <w:sz w:val="30"/>
        </w:rPr>
        <w:t>Článok VIII.   Práva a povinnosti Zmluvných strán Rámcovej dohody</w:t>
      </w:r>
    </w:p>
    <w:p>
      <w:pPr>
        <w:spacing w:before="160" w:after="60"/>
      </w:pPr>
      <w:r>
        <w:rPr>
          <w:rFonts w:ascii="Arial" w:hAnsi="Arial"/>
          <w:b/>
          <w:color w:val="2E75B6"/>
          <w:sz w:val="24"/>
        </w:rPr>
        <w:t>8.1  Povinnosti Dodávateľa</w:t>
      </w:r>
    </w:p>
    <w:p>
      <w:pPr>
        <w:spacing w:after="80"/>
        <w:jc w:val="both"/>
      </w:pPr>
      <w:r>
        <w:rPr>
          <w:rFonts w:ascii="Arial" w:hAnsi="Arial"/>
        </w:rPr>
        <w:t>Dodávateľ je povinný:</w:t>
      </w:r>
    </w:p>
    <w:p>
      <w:pPr>
        <w:spacing w:after="40"/>
        <w:ind w:left="397" w:hanging="283"/>
        <w:jc w:val="both"/>
      </w:pPr>
      <w:r>
        <w:rPr>
          <w:rFonts w:ascii="Arial" w:hAnsi="Arial"/>
        </w:rPr>
        <w:t xml:space="preserve">•  </w:t>
      </w:r>
      <w:r>
        <w:rPr>
          <w:rFonts w:ascii="Arial" w:hAnsi="Arial"/>
        </w:rPr>
        <w:t>a) dodávať Odberateľovi elektrinu v kvalite zodpovedajúcej technickým podmienkam PDS;</w:t>
      </w:r>
    </w:p>
    <w:p>
      <w:pPr>
        <w:spacing w:after="40"/>
        <w:ind w:left="397" w:hanging="283"/>
        <w:jc w:val="both"/>
      </w:pPr>
      <w:r>
        <w:rPr>
          <w:rFonts w:ascii="Arial" w:hAnsi="Arial"/>
        </w:rPr>
        <w:t xml:space="preserve">•  </w:t>
      </w:r>
      <w:r>
        <w:rPr>
          <w:rFonts w:ascii="Arial" w:hAnsi="Arial"/>
        </w:rPr>
        <w:t>b) prevziať zodpovednosť za odchýlku Odberateľa voči OKTE;</w:t>
      </w:r>
    </w:p>
    <w:p>
      <w:pPr>
        <w:spacing w:after="40"/>
        <w:ind w:left="397" w:hanging="283"/>
        <w:jc w:val="both"/>
      </w:pPr>
      <w:r>
        <w:rPr>
          <w:rFonts w:ascii="Arial" w:hAnsi="Arial"/>
        </w:rPr>
        <w:t xml:space="preserve">•  </w:t>
      </w:r>
      <w:r>
        <w:rPr>
          <w:rFonts w:ascii="Arial" w:hAnsi="Arial"/>
        </w:rPr>
        <w:t>c) raz ročne predložiť Odberateľovi doklad o štruktúre primárnych zdrojov vyrobenej elektriny;</w:t>
      </w:r>
    </w:p>
    <w:p>
      <w:pPr>
        <w:spacing w:after="40"/>
        <w:ind w:left="397" w:hanging="283"/>
        <w:jc w:val="both"/>
      </w:pPr>
      <w:r>
        <w:rPr>
          <w:rFonts w:ascii="Arial" w:hAnsi="Arial"/>
        </w:rPr>
        <w:t xml:space="preserve">•  </w:t>
      </w:r>
      <w:r>
        <w:rPr>
          <w:rFonts w:ascii="Arial" w:hAnsi="Arial"/>
        </w:rPr>
        <w:t>d) vystaviť a doručiť faktúry v lehotách a formátoch podľa Článku VI;</w:t>
      </w:r>
    </w:p>
    <w:p>
      <w:pPr>
        <w:spacing w:after="40"/>
        <w:ind w:left="397" w:hanging="283"/>
        <w:jc w:val="both"/>
      </w:pPr>
      <w:r>
        <w:rPr>
          <w:rFonts w:ascii="Arial" w:hAnsi="Arial"/>
        </w:rPr>
        <w:t xml:space="preserve">•  </w:t>
      </w:r>
      <w:r>
        <w:rPr>
          <w:rFonts w:ascii="Arial" w:hAnsi="Arial"/>
        </w:rPr>
        <w:t>e) udržiavať platné povolenie ÚRSO na podnikanie v energetike po celú dobu trvania Zmluvy a o akomkoľvek ohrození alebo strate licencie bezodkladne písomne informovať Odberateľa;</w:t>
      </w:r>
    </w:p>
    <w:p>
      <w:pPr>
        <w:spacing w:after="40"/>
        <w:ind w:left="397" w:hanging="283"/>
        <w:jc w:val="both"/>
      </w:pPr>
      <w:r>
        <w:rPr>
          <w:rFonts w:ascii="Arial" w:hAnsi="Arial"/>
        </w:rPr>
        <w:t xml:space="preserve">•  </w:t>
      </w:r>
      <w:r>
        <w:rPr>
          <w:rFonts w:ascii="Arial" w:hAnsi="Arial"/>
        </w:rPr>
        <w:t>f) bezodkladne informovať Odberateľa o akejkoľvek skutočnosti, ktorá by mohla mať vplyv na plnenie Zmluvy;</w:t>
      </w:r>
    </w:p>
    <w:p>
      <w:pPr>
        <w:spacing w:after="40"/>
        <w:ind w:left="397" w:hanging="283"/>
        <w:jc w:val="both"/>
      </w:pPr>
      <w:r>
        <w:rPr>
          <w:rFonts w:ascii="Arial" w:hAnsi="Arial"/>
        </w:rPr>
        <w:t xml:space="preserve">•  </w:t>
      </w:r>
      <w:r>
        <w:rPr>
          <w:rFonts w:ascii="Arial" w:hAnsi="Arial"/>
        </w:rPr>
        <w:t>g) dodržiavať mlčanlivosť o všetkých informáciách o Odberateľovi získaných pri plnení Zmluvy.</w:t>
      </w:r>
    </w:p>
    <w:p>
      <w:pPr>
        <w:spacing w:before="160" w:after="60"/>
      </w:pPr>
      <w:r>
        <w:rPr>
          <w:rFonts w:ascii="Arial" w:hAnsi="Arial"/>
          <w:b/>
          <w:color w:val="2E75B6"/>
          <w:sz w:val="24"/>
        </w:rPr>
        <w:t>8.2  Povinnosti Odberateľa</w:t>
      </w:r>
    </w:p>
    <w:p>
      <w:pPr>
        <w:spacing w:after="80"/>
        <w:jc w:val="both"/>
      </w:pPr>
      <w:r>
        <w:rPr>
          <w:rFonts w:ascii="Arial" w:hAnsi="Arial"/>
        </w:rPr>
        <w:t>Odberateľ je povinný:</w:t>
      </w:r>
    </w:p>
    <w:p>
      <w:pPr>
        <w:spacing w:after="40"/>
        <w:ind w:left="397" w:hanging="283"/>
        <w:jc w:val="both"/>
      </w:pPr>
      <w:r>
        <w:rPr>
          <w:rFonts w:ascii="Arial" w:hAnsi="Arial"/>
        </w:rPr>
        <w:t xml:space="preserve">•  </w:t>
      </w:r>
      <w:r>
        <w:rPr>
          <w:rFonts w:ascii="Arial" w:hAnsi="Arial"/>
        </w:rPr>
        <w:t>a) uhrádzať Dodávateľovi cenu za združené služby dodávky elektriny v lehotách splatnosti;</w:t>
      </w:r>
    </w:p>
    <w:p>
      <w:pPr>
        <w:spacing w:after="40"/>
        <w:ind w:left="397" w:hanging="283"/>
        <w:jc w:val="both"/>
      </w:pPr>
      <w:r>
        <w:rPr>
          <w:rFonts w:ascii="Arial" w:hAnsi="Arial"/>
        </w:rPr>
        <w:t xml:space="preserve">•  </w:t>
      </w:r>
      <w:r>
        <w:rPr>
          <w:rFonts w:ascii="Arial" w:hAnsi="Arial"/>
        </w:rPr>
        <w:t>b) udržiavať platné zmluvy o pripojení OM s PDS;</w:t>
      </w:r>
    </w:p>
    <w:p>
      <w:pPr>
        <w:spacing w:after="40"/>
        <w:ind w:left="397" w:hanging="283"/>
        <w:jc w:val="both"/>
      </w:pPr>
      <w:r>
        <w:rPr>
          <w:rFonts w:ascii="Arial" w:hAnsi="Arial"/>
        </w:rPr>
        <w:t xml:space="preserve">•  </w:t>
      </w:r>
      <w:r>
        <w:rPr>
          <w:rFonts w:ascii="Arial" w:hAnsi="Arial"/>
        </w:rPr>
        <w:t>c) dodržiavať Prevádzkový poriadok PDS a Technické podmienky PDS;</w:t>
      </w:r>
    </w:p>
    <w:p>
      <w:pPr>
        <w:spacing w:after="40"/>
        <w:ind w:left="397" w:hanging="283"/>
        <w:jc w:val="both"/>
      </w:pPr>
      <w:r>
        <w:rPr>
          <w:rFonts w:ascii="Arial" w:hAnsi="Arial"/>
        </w:rPr>
        <w:t xml:space="preserve">•  </w:t>
      </w:r>
      <w:r>
        <w:rPr>
          <w:rFonts w:ascii="Arial" w:hAnsi="Arial"/>
        </w:rPr>
        <w:t>d) bezodkladne informovať Dodávateľa o zmene rozsahu odberu, o pridaní/odobratí OM a o iných skutočnostiach ovplyvňujúcich dodávku.</w:t>
      </w:r>
    </w:p>
    <w:p>
      <w:pPr>
        <w:spacing w:before="160" w:after="60"/>
      </w:pPr>
      <w:r>
        <w:rPr>
          <w:rFonts w:ascii="Arial" w:hAnsi="Arial"/>
          <w:b/>
          <w:color w:val="2E75B6"/>
          <w:sz w:val="24"/>
        </w:rPr>
        <w:t>8.3  Zmena PDS a OM</w:t>
      </w:r>
    </w:p>
    <w:p>
      <w:pPr>
        <w:spacing w:after="40"/>
        <w:ind w:left="454" w:hanging="454"/>
        <w:jc w:val="both"/>
      </w:pPr>
      <w:r>
        <w:rPr>
          <w:rFonts w:ascii="Arial" w:hAnsi="Arial"/>
          <w:b/>
        </w:rPr>
        <w:t>1.  V prípade zmeny PDS alebo zmeny technického / obchodného režimu OM Zmluvné strany Rámcovej dohody aktualizujú technické prílohy bezodkladne, najneskôr do 30 dní od oznámenia zmeny PDS.</w:t>
      </w:r>
      <w:r>
        <w:rPr>
          <w:rFonts w:ascii="Arial" w:hAnsi="Arial"/>
        </w:rPr>
      </w:r>
      <w:r>
        <w:rPr>
          <w:rFonts w:ascii="Arial" w:hAnsi="Arial"/>
          <w:b/>
        </w:rPr>
      </w:r>
      <w:r>
        <w:rPr>
          <w:rFonts w:ascii="Arial" w:hAnsi="Arial"/>
        </w:rPr>
      </w:r>
    </w:p>
    <w:p>
      <w:pPr>
        <w:spacing w:after="40"/>
        <w:ind w:left="454" w:hanging="454"/>
        <w:jc w:val="both"/>
      </w:pPr>
      <w:r>
        <w:rPr>
          <w:rFonts w:ascii="Arial" w:hAnsi="Arial"/>
          <w:b/>
        </w:rPr>
        <w:t xml:space="preserve">2.  </w:t>
      </w:r>
      <w:r>
        <w:rPr>
          <w:rFonts w:ascii="Arial" w:hAnsi="Arial"/>
        </w:rPr>
        <w:t xml:space="preserve">Pri pridaní nového OM Odberateľ písomne oznámi pridanie OM najmenej </w:t>
      </w:r>
      <w:r>
        <w:rPr>
          <w:rFonts w:ascii="Arial" w:hAnsi="Arial"/>
          <w:b/>
        </w:rPr>
        <w:t>15 kalendárnych dní vopred</w:t>
      </w:r>
      <w:r>
        <w:rPr>
          <w:rFonts w:ascii="Arial" w:hAnsi="Arial"/>
        </w:rPr>
        <w:t>. OM sa automaticky zaradí do dodávky pri zachovaní Koeficientu K. KZOO sa navýši o predpokladané ročné množstvo nového OM.</w:t>
      </w:r>
    </w:p>
    <w:p>
      <w:pPr>
        <w:spacing w:after="40"/>
        <w:ind w:left="454" w:hanging="454"/>
        <w:jc w:val="both"/>
      </w:pPr>
      <w:r>
        <w:rPr>
          <w:rFonts w:ascii="Arial" w:hAnsi="Arial"/>
          <w:b/>
        </w:rPr>
        <w:t xml:space="preserve">3.  </w:t>
      </w:r>
      <w:r>
        <w:rPr>
          <w:rFonts w:ascii="Arial" w:hAnsi="Arial"/>
        </w:rPr>
        <w:t xml:space="preserve">Pri odobratí OM Odberateľ písomne oznámi odobratie najmenej </w:t>
      </w:r>
      <w:r>
        <w:rPr>
          <w:rFonts w:ascii="Arial" w:hAnsi="Arial"/>
          <w:b/>
        </w:rPr>
        <w:t>15 kalendárnych dní vopred</w:t>
      </w:r>
      <w:r>
        <w:rPr>
          <w:rFonts w:ascii="Arial" w:hAnsi="Arial"/>
        </w:rPr>
        <w:t>. OM sa odstráni zo zmluvy bez sankcií.</w:t>
      </w:r>
    </w:p>
    <w:p>
      <w:pPr>
        <w:spacing w:before="160" w:after="60"/>
      </w:pPr>
      <w:r>
        <w:rPr>
          <w:rFonts w:ascii="Arial" w:hAnsi="Arial"/>
          <w:b/>
          <w:color w:val="2E75B6"/>
          <w:sz w:val="24"/>
        </w:rPr>
        <w:t>8.4  Subdodávky</w:t>
      </w:r>
    </w:p>
    <w:p>
      <w:pPr>
        <w:spacing w:after="40"/>
        <w:ind w:left="454" w:hanging="454"/>
        <w:jc w:val="both"/>
      </w:pPr>
      <w:r>
        <w:rPr>
          <w:rFonts w:ascii="Arial" w:hAnsi="Arial"/>
          <w:b/>
        </w:rPr>
        <w:t>4.  Dodávateľ môže časti predmetu plnenia podľa tejto Rámcovej dohody plniť prostredníctvom Subdodávateľov uvedených v Prílohe č. 2 Zmluvy.</w:t>
      </w:r>
      <w:r>
        <w:rPr>
          <w:rFonts w:ascii="Arial" w:hAnsi="Arial"/>
        </w:rPr>
      </w:r>
      <w:r>
        <w:rPr>
          <w:rFonts w:ascii="Arial" w:hAnsi="Arial"/>
          <w:b/>
        </w:rPr>
      </w:r>
      <w:r>
        <w:rPr>
          <w:rFonts w:ascii="Arial" w:hAnsi="Arial"/>
        </w:rPr>
      </w:r>
    </w:p>
    <w:p>
      <w:pPr>
        <w:spacing w:after="40"/>
        <w:ind w:left="454" w:hanging="454"/>
        <w:jc w:val="both"/>
      </w:pPr>
      <w:r>
        <w:rPr>
          <w:rFonts w:ascii="Arial" w:hAnsi="Arial"/>
          <w:b/>
        </w:rPr>
        <w:t xml:space="preserve">5.  </w:t>
      </w:r>
      <w:r>
        <w:rPr>
          <w:rFonts w:ascii="Arial" w:hAnsi="Arial"/>
        </w:rPr>
        <w:t>Subdodávateľ musí spĺňať podmienky účasti týkajúce sa osobného postavenia podľa § 32 ods. 1 ZVO.</w:t>
      </w:r>
    </w:p>
    <w:p>
      <w:pPr>
        <w:spacing w:after="40"/>
        <w:ind w:left="454" w:hanging="454"/>
        <w:jc w:val="both"/>
      </w:pPr>
      <w:r>
        <w:rPr>
          <w:rFonts w:ascii="Arial" w:hAnsi="Arial"/>
          <w:b/>
        </w:rPr>
        <w:t xml:space="preserve">6.  </w:t>
      </w:r>
      <w:r>
        <w:rPr>
          <w:rFonts w:ascii="Arial" w:hAnsi="Arial"/>
        </w:rPr>
        <w:t xml:space="preserve">Zmenu Subdodávateľa Dodávateľ </w:t>
      </w:r>
      <w:r>
        <w:rPr>
          <w:rFonts w:ascii="Arial" w:hAnsi="Arial"/>
          <w:b/>
        </w:rPr>
        <w:t>oznámi Odberateľovi písomne najmenej 5 pracovných dní vopred</w:t>
      </w:r>
      <w:r>
        <w:rPr>
          <w:rFonts w:ascii="Arial" w:hAnsi="Arial"/>
        </w:rPr>
        <w:t>. Odberateľ má právo zmenu Subdodávateľa odmietnuť z dôvodov nesúladu so ZVO; v takom prípade Dodávateľ navrhne iného Subdodávateľa.</w:t>
      </w:r>
    </w:p>
    <w:p>
      <w:pPr>
        <w:spacing w:before="160" w:after="60"/>
      </w:pPr>
      <w:r>
        <w:rPr>
          <w:rFonts w:ascii="Arial" w:hAnsi="Arial"/>
          <w:b/>
          <w:color w:val="2E75B6"/>
          <w:sz w:val="24"/>
        </w:rPr>
        <w:t>8.5  Ochrana osobných údajov (GDPR)</w:t>
      </w:r>
    </w:p>
    <w:p>
      <w:pPr>
        <w:spacing w:after="40"/>
        <w:ind w:left="454" w:hanging="454"/>
        <w:jc w:val="both"/>
      </w:pPr>
      <w:r>
        <w:rPr>
          <w:rFonts w:ascii="Arial" w:hAnsi="Arial"/>
          <w:b/>
        </w:rPr>
        <w:t>7.  Zmluvné strany Rámcovej dohody pri plnení Zmluvy postupujú v súlade s Nariadením (EÚ) 2016/679 (GDPR) a zákonom č. 18/2018 Z. z. o ochrane osobných údajov.</w:t>
      </w:r>
      <w:r>
        <w:rPr>
          <w:rFonts w:ascii="Arial" w:hAnsi="Arial"/>
        </w:rPr>
      </w:r>
      <w:r>
        <w:rPr>
          <w:rFonts w:ascii="Arial" w:hAnsi="Arial"/>
          <w:b/>
        </w:rPr>
      </w:r>
      <w:r>
        <w:rPr>
          <w:rFonts w:ascii="Arial" w:hAnsi="Arial"/>
        </w:rPr>
      </w:r>
    </w:p>
    <w:p>
      <w:pPr>
        <w:spacing w:after="40"/>
        <w:ind w:left="454" w:hanging="454"/>
        <w:jc w:val="both"/>
      </w:pPr>
      <w:r>
        <w:rPr>
          <w:rFonts w:ascii="Arial" w:hAnsi="Arial"/>
          <w:b/>
        </w:rPr>
        <w:t>8.  Zmluvné strany Rámcovej dohody sa pri spracúvaní osobných údajov svojich kontaktných osôb (meno, e-mail, telefón, funkcia) považujú za samostatných prevádzkovateľov v zmysle čl. 4 bod 7 GDPR.</w:t>
      </w:r>
      <w:r>
        <w:rPr>
          <w:rFonts w:ascii="Arial" w:hAnsi="Arial"/>
        </w:rPr>
      </w:r>
      <w:r>
        <w:rPr>
          <w:rFonts w:ascii="Arial" w:hAnsi="Arial"/>
          <w:b/>
        </w:rPr>
      </w:r>
      <w:r>
        <w:rPr>
          <w:rFonts w:ascii="Arial" w:hAnsi="Arial"/>
        </w:rPr>
      </w:r>
    </w:p>
    <w:p>
      <w:pPr>
        <w:spacing w:after="40"/>
        <w:ind w:left="454" w:hanging="454"/>
        <w:jc w:val="both"/>
      </w:pPr>
      <w:r>
        <w:rPr>
          <w:rFonts w:ascii="Arial" w:hAnsi="Arial"/>
          <w:b/>
        </w:rPr>
        <w:t>9.  Účelom spracúvania je plnenie tejto Rámcovej dohody; právny základ je čl. 6 ods. 1 písm. b) GDPR (plnenie zmluvy) a čl. 6 ods. 1 písm. c) GDPR (zákonná povinnosť).</w:t>
      </w:r>
      <w:r>
        <w:rPr>
          <w:rFonts w:ascii="Arial" w:hAnsi="Arial"/>
        </w:rPr>
      </w:r>
    </w:p>
    <w:p>
      <w:pPr>
        <w:spacing w:after="40"/>
        <w:ind w:left="454" w:hanging="454"/>
        <w:jc w:val="both"/>
      </w:pPr>
      <w:r>
        <w:rPr>
          <w:rFonts w:ascii="Arial" w:hAnsi="Arial"/>
          <w:b/>
        </w:rPr>
        <w:t xml:space="preserve">10.  </w:t>
      </w:r>
      <w:r>
        <w:rPr>
          <w:rFonts w:ascii="Arial" w:hAnsi="Arial"/>
        </w:rPr>
        <w:t>Doba uchovávania: po dobu trvania Zmluvy a 10 rokov po jej skončení (archívna povinnosť podľa § 24 ZVO).</w:t>
      </w:r>
    </w:p>
    <w:p>
      <w:pPr>
        <w:spacing w:after="40"/>
        <w:ind w:left="454" w:hanging="454"/>
        <w:jc w:val="both"/>
      </w:pPr>
      <w:r>
        <w:rPr>
          <w:rFonts w:ascii="Arial" w:hAnsi="Arial"/>
          <w:b/>
        </w:rPr>
        <w:t xml:space="preserve">11.  </w:t>
      </w:r>
      <w:r>
        <w:rPr>
          <w:rFonts w:ascii="Arial" w:hAnsi="Arial"/>
        </w:rPr>
        <w:t>Dotknuté osoby majú právo na informáciu, prístup, opravu, obmedzenie spracúvania, namietať proti spracúvaniu a podať sťažnosť Úradu na ochranu osobných údajov SR.</w:t>
      </w:r>
    </w:p>
    <w:p>
      <w:pPr>
        <w:spacing w:after="40"/>
        <w:ind w:left="454" w:hanging="454"/>
        <w:jc w:val="both"/>
      </w:pPr>
      <w:r>
        <w:rPr>
          <w:rFonts w:ascii="Arial" w:hAnsi="Arial"/>
          <w:b/>
        </w:rPr>
        <w:t>12.  Zmluvné strany Rámcovej dohody sa vzájomne informujú o relevantných bezpečnostných incidentoch v lehote 72 hodín od ich zistenia.</w:t>
      </w:r>
      <w:r>
        <w:rPr>
          <w:rFonts w:ascii="Arial" w:hAnsi="Arial"/>
        </w:rPr>
      </w:r>
    </w:p>
    <w:p>
      <w:pPr>
        <w:spacing w:before="160" w:after="60"/>
      </w:pPr>
      <w:r>
        <w:rPr>
          <w:rFonts w:ascii="Arial" w:hAnsi="Arial"/>
          <w:b/>
          <w:color w:val="2E75B6"/>
          <w:sz w:val="24"/>
        </w:rPr>
        <w:t>8.6  Informačná povinnosť Dodávateľa</w:t>
      </w:r>
    </w:p>
    <w:p>
      <w:pPr>
        <w:spacing w:after="40"/>
        <w:ind w:left="454" w:hanging="454"/>
        <w:jc w:val="both"/>
      </w:pPr>
      <w:r>
        <w:rPr>
          <w:rFonts w:ascii="Arial" w:hAnsi="Arial"/>
          <w:b/>
        </w:rPr>
        <w:t xml:space="preserve">13.  </w:t>
      </w:r>
      <w:r>
        <w:rPr>
          <w:rFonts w:ascii="Arial" w:hAnsi="Arial"/>
        </w:rPr>
        <w:t>V súlade s novelou zákona č. 251/2012 Z. z. účinnou od 19. 6. 2026 (§ 17, § 34) Dodávateľ raz ročne predloží Odberateľovi:</w:t>
      </w:r>
    </w:p>
    <w:p>
      <w:pPr>
        <w:spacing w:after="40"/>
        <w:ind w:left="397" w:hanging="283"/>
        <w:jc w:val="both"/>
      </w:pPr>
      <w:r>
        <w:rPr>
          <w:rFonts w:ascii="Arial" w:hAnsi="Arial"/>
        </w:rPr>
        <w:t xml:space="preserve">•  </w:t>
      </w:r>
      <w:r>
        <w:rPr>
          <w:rFonts w:ascii="Arial" w:hAnsi="Arial"/>
        </w:rPr>
        <w:t xml:space="preserve">a) </w:t>
      </w:r>
      <w:r>
        <w:rPr>
          <w:rFonts w:ascii="Arial" w:hAnsi="Arial"/>
          <w:b/>
        </w:rPr>
        <w:t>doklad o štruktúre primárnych zdrojov</w:t>
      </w:r>
      <w:r>
        <w:rPr>
          <w:rFonts w:ascii="Arial" w:hAnsi="Arial"/>
        </w:rPr>
        <w:t xml:space="preserve"> vyrobenej elektriny;</w:t>
      </w:r>
    </w:p>
    <w:p>
      <w:pPr>
        <w:spacing w:after="40"/>
        <w:ind w:left="397" w:hanging="283"/>
        <w:jc w:val="both"/>
      </w:pPr>
      <w:r>
        <w:rPr>
          <w:rFonts w:ascii="Arial" w:hAnsi="Arial"/>
        </w:rPr>
        <w:t xml:space="preserve">•  </w:t>
      </w:r>
      <w:r>
        <w:rPr>
          <w:rFonts w:ascii="Arial" w:hAnsi="Arial"/>
        </w:rPr>
        <w:t>b) sumarizáciu spotreby a fakturácie za daný kalendárny rok;</w:t>
      </w:r>
    </w:p>
    <w:p>
      <w:pPr>
        <w:spacing w:after="40"/>
        <w:ind w:left="397" w:hanging="283"/>
        <w:jc w:val="both"/>
      </w:pPr>
      <w:r>
        <w:rPr>
          <w:rFonts w:ascii="Arial" w:hAnsi="Arial"/>
        </w:rPr>
        <w:t xml:space="preserve">•  </w:t>
      </w:r>
      <w:r>
        <w:rPr>
          <w:rFonts w:ascii="Arial" w:hAnsi="Arial"/>
        </w:rPr>
        <w:t>c) informáciu o postupe pri reklamáciách a o orgánoch riešenia sporov (ÚRSO, súd, mediátor);</w:t>
      </w:r>
    </w:p>
    <w:p>
      <w:pPr>
        <w:spacing w:after="40"/>
        <w:ind w:left="397" w:hanging="283"/>
        <w:jc w:val="both"/>
      </w:pPr>
      <w:r>
        <w:rPr>
          <w:rFonts w:ascii="Arial" w:hAnsi="Arial"/>
        </w:rPr>
        <w:t xml:space="preserve">•  </w:t>
      </w:r>
      <w:r>
        <w:rPr>
          <w:rFonts w:ascii="Arial" w:hAnsi="Arial"/>
        </w:rPr>
        <w:t xml:space="preserve">d) kontaktné údaje na </w:t>
      </w:r>
      <w:r>
        <w:rPr>
          <w:rFonts w:ascii="Arial" w:hAnsi="Arial"/>
          <w:b/>
        </w:rPr>
        <w:t>infolinku Dodávateľa</w:t>
      </w:r>
      <w:r>
        <w:rPr>
          <w:rFonts w:ascii="Arial" w:hAnsi="Arial"/>
        </w:rPr>
        <w:t xml:space="preserve"> pre prípad poruchy, reklamácie alebo otázok.</w:t>
      </w:r>
    </w:p>
    <w:p>
      <w:pPr>
        <w:spacing w:before="280" w:after="120"/>
        <w:jc w:val="center"/>
      </w:pPr>
      <w:r>
        <w:rPr>
          <w:rFonts w:ascii="Arial" w:hAnsi="Arial"/>
          <w:b/>
          <w:color w:val="1F4E78"/>
          <w:sz w:val="30"/>
        </w:rPr>
        <w:t>Článok IX.   Odstúpenie od Zmluvy</w:t>
      </w:r>
    </w:p>
    <w:p>
      <w:pPr>
        <w:spacing w:before="160" w:after="60"/>
      </w:pPr>
      <w:r>
        <w:rPr>
          <w:rFonts w:ascii="Arial" w:hAnsi="Arial"/>
          <w:b/>
          <w:color w:val="2E75B6"/>
          <w:sz w:val="24"/>
        </w:rPr>
        <w:t>9.1  Odstúpenie podľa § 19 ZVO</w:t>
      </w:r>
    </w:p>
    <w:p>
      <w:pPr>
        <w:spacing w:after="40"/>
        <w:ind w:left="454" w:hanging="454"/>
        <w:jc w:val="both"/>
      </w:pPr>
      <w:r>
        <w:rPr>
          <w:rFonts w:ascii="Arial" w:hAnsi="Arial"/>
          <w:b/>
        </w:rPr>
        <w:t xml:space="preserve">1.  Odberateľ je oprávnený od tejto Rámcovej dohody odstúpiť z dôvodov uvedených v § 19 ods. 1 ZVO a súčasne z nasledujúcich zmluvných dôvodov:</w:t>
      </w:r>
    </w:p>
    <w:p>
      <w:pPr>
        <w:spacing w:after="40"/>
        <w:ind w:left="397" w:hanging="283"/>
        <w:jc w:val="both"/>
      </w:pPr>
      <w:r>
        <w:rPr>
          <w:rFonts w:ascii="Arial" w:hAnsi="Arial"/>
        </w:rPr>
        <w:t xml:space="preserve">•  </w:t>
      </w:r>
      <w:r>
        <w:rPr>
          <w:rFonts w:ascii="Arial" w:hAnsi="Arial"/>
        </w:rPr>
        <w:t xml:space="preserve">a) </w:t>
      </w:r>
      <w:r>
        <w:rPr>
          <w:rFonts w:ascii="Arial" w:hAnsi="Arial"/>
        </w:rPr>
        <w:t xml:space="preserve">ak </w:t>
      </w:r>
      <w:r>
        <w:rPr>
          <w:rFonts w:ascii="Arial" w:hAnsi="Arial"/>
        </w:rPr>
        <w:t xml:space="preserve">sa preukáže, že ku dňu uzavretia Zmluvy bol Dodávateľ v konflikte záujmov, ktorý nemohol byť odstránený;</w:t>
      </w:r>
    </w:p>
    <w:p>
      <w:pPr>
        <w:spacing w:after="40"/>
        <w:ind w:left="397" w:hanging="283"/>
        <w:jc w:val="both"/>
      </w:pPr>
      <w:r>
        <w:rPr>
          <w:rFonts w:ascii="Arial" w:hAnsi="Arial"/>
        </w:rPr>
        <w:t xml:space="preserve">•  </w:t>
      </w:r>
      <w:r>
        <w:rPr>
          <w:rFonts w:ascii="Arial" w:hAnsi="Arial"/>
        </w:rPr>
        <w:t xml:space="preserve">b) </w:t>
      </w:r>
      <w:r>
        <w:rPr>
          <w:rFonts w:ascii="Arial" w:hAnsi="Arial"/>
        </w:rPr>
        <w:t xml:space="preserve">ak </w:t>
      </w:r>
      <w:r>
        <w:rPr>
          <w:rFonts w:ascii="Arial" w:hAnsi="Arial"/>
        </w:rPr>
        <w:t xml:space="preserve">sa preukázala podstatná zmena Zmluvy, ktorá by si vyžadovala nové verejné obstarávanie;</w:t>
      </w:r>
    </w:p>
    <w:p>
      <w:pPr>
        <w:spacing w:after="40"/>
        <w:ind w:left="397" w:hanging="283"/>
        <w:jc w:val="both"/>
      </w:pPr>
      <w:r>
        <w:rPr>
          <w:rFonts w:ascii="Arial" w:hAnsi="Arial"/>
        </w:rPr>
        <w:t xml:space="preserve">•  </w:t>
      </w:r>
      <w:r>
        <w:rPr>
          <w:rFonts w:ascii="Arial" w:hAnsi="Arial"/>
        </w:rPr>
        <w:t xml:space="preserve">c) </w:t>
      </w:r>
      <w:r>
        <w:rPr>
          <w:rFonts w:ascii="Arial" w:hAnsi="Arial"/>
        </w:rPr>
        <w:t xml:space="preserve">ak </w:t>
      </w:r>
      <w:r>
        <w:rPr>
          <w:rFonts w:ascii="Arial" w:hAnsi="Arial"/>
        </w:rPr>
        <w:t xml:space="preserve">bol proti Dodávateľovi vyhlásený konkurz, vstúpil do likvidácie alebo bol proti nemu vyhlásený exekučný proces ohrozujúci plnenie Zmluvy.</w:t>
      </w:r>
    </w:p>
    <w:p>
      <w:pPr>
        <w:spacing w:before="160" w:after="60"/>
      </w:pPr>
      <w:r>
        <w:rPr>
          <w:rFonts w:ascii="Arial" w:hAnsi="Arial"/>
          <w:b/>
          <w:color w:val="2E75B6"/>
          <w:sz w:val="24"/>
        </w:rPr>
        <w:t>9.2  Odstúpenie zo strany Odberateľa</w:t>
      </w:r>
    </w:p>
    <w:p>
      <w:pPr>
        <w:spacing w:after="80"/>
        <w:jc w:val="both"/>
      </w:pPr>
      <w:r>
        <w:rPr>
          <w:rFonts w:ascii="Arial" w:hAnsi="Arial"/>
        </w:rPr>
        <w:t>Odberateľ je ďalej oprávnený od Zmluvy odstúpiť, ak:</w:t>
      </w:r>
    </w:p>
    <w:p>
      <w:pPr>
        <w:spacing w:after="40"/>
        <w:ind w:left="397" w:hanging="283"/>
        <w:jc w:val="both"/>
      </w:pPr>
      <w:r>
        <w:rPr>
          <w:rFonts w:ascii="Arial" w:hAnsi="Arial"/>
        </w:rPr>
        <w:t xml:space="preserve">•  </w:t>
      </w:r>
      <w:r>
        <w:rPr>
          <w:rFonts w:ascii="Arial" w:hAnsi="Arial"/>
        </w:rPr>
        <w:t xml:space="preserve">a) Dodávateľ je v omeškaní s dodávkou elektriny do OM o </w:t>
      </w:r>
      <w:r>
        <w:rPr>
          <w:rFonts w:ascii="Arial" w:hAnsi="Arial"/>
          <w:b/>
        </w:rPr>
        <w:t>viac ako 5 pracovných dní</w:t>
      </w:r>
      <w:r>
        <w:rPr>
          <w:rFonts w:ascii="Arial" w:hAnsi="Arial"/>
        </w:rPr>
        <w:t xml:space="preserve"> (mimo prípadov vyššej moci);</w:t>
      </w:r>
    </w:p>
    <w:p>
      <w:pPr>
        <w:spacing w:after="40"/>
        <w:ind w:left="397" w:hanging="283"/>
        <w:jc w:val="both"/>
      </w:pPr>
      <w:r>
        <w:rPr>
          <w:rFonts w:ascii="Arial" w:hAnsi="Arial"/>
        </w:rPr>
        <w:t xml:space="preserve">•  </w:t>
      </w:r>
      <w:r>
        <w:rPr>
          <w:rFonts w:ascii="Arial" w:hAnsi="Arial"/>
        </w:rPr>
        <w:t xml:space="preserve">b) Dodávateľ </w:t>
      </w:r>
      <w:r>
        <w:rPr>
          <w:rFonts w:ascii="Arial" w:hAnsi="Arial"/>
          <w:b/>
        </w:rPr>
        <w:t>stratí licenciu ÚRSO</w:t>
      </w:r>
      <w:r>
        <w:rPr>
          <w:rFonts w:ascii="Arial" w:hAnsi="Arial"/>
        </w:rPr>
        <w:t xml:space="preserve"> na podnikanie v energetike alebo jej rozsah na dodávku elektriny;</w:t>
      </w:r>
    </w:p>
    <w:p>
      <w:pPr>
        <w:spacing w:after="40"/>
        <w:ind w:left="397" w:hanging="283"/>
        <w:jc w:val="both"/>
      </w:pPr>
      <w:r>
        <w:rPr>
          <w:rFonts w:ascii="Arial" w:hAnsi="Arial"/>
        </w:rPr>
        <w:t xml:space="preserve">•  </w:t>
      </w:r>
      <w:r>
        <w:rPr>
          <w:rFonts w:ascii="Arial" w:hAnsi="Arial"/>
        </w:rPr>
        <w:t>c) Dodávateľ poruší podstatne svoje povinnosti pri Subdodávkach (Článok VIII bod 8.4);</w:t>
      </w:r>
    </w:p>
    <w:p>
      <w:pPr>
        <w:spacing w:after="40"/>
        <w:ind w:left="397" w:hanging="283"/>
        <w:jc w:val="both"/>
      </w:pPr>
      <w:r>
        <w:rPr>
          <w:rFonts w:ascii="Arial" w:hAnsi="Arial"/>
        </w:rPr>
        <w:t xml:space="preserve">•  </w:t>
      </w:r>
      <w:r>
        <w:rPr>
          <w:rFonts w:ascii="Arial" w:hAnsi="Arial"/>
        </w:rPr>
        <w:t xml:space="preserve">d) Dodávateľ je v omeškaní s vystavením/zaslaním Konfirmácie alebo Krycieho listu o </w:t>
      </w:r>
      <w:r>
        <w:rPr>
          <w:rFonts w:ascii="Arial" w:hAnsi="Arial"/>
          <w:b/>
        </w:rPr>
        <w:t>viac ako 10 pracovných dní</w:t>
      </w:r>
      <w:r>
        <w:rPr>
          <w:rFonts w:ascii="Arial" w:hAnsi="Arial"/>
        </w:rPr>
        <w:t>;</w:t>
      </w:r>
    </w:p>
    <w:p>
      <w:pPr>
        <w:spacing w:after="40"/>
        <w:ind w:left="397" w:hanging="283"/>
        <w:jc w:val="both"/>
      </w:pPr>
      <w:r>
        <w:rPr>
          <w:rFonts w:ascii="Arial" w:hAnsi="Arial"/>
        </w:rPr>
        <w:t xml:space="preserve">•  </w:t>
      </w:r>
      <w:r>
        <w:rPr>
          <w:rFonts w:ascii="Arial" w:hAnsi="Arial"/>
        </w:rPr>
        <w:t>e) Dodávateľ opakovane (viac ako 2× za kalendárny rok) poruší svoju informačnú povinnosť podľa Článku VIII bod 8.6.</w:t>
      </w:r>
    </w:p>
    <w:p>
      <w:pPr>
        <w:spacing w:before="160" w:after="60"/>
      </w:pPr>
      <w:r>
        <w:rPr>
          <w:rFonts w:ascii="Arial" w:hAnsi="Arial"/>
          <w:b/>
          <w:color w:val="2E75B6"/>
          <w:sz w:val="24"/>
        </w:rPr>
        <w:t>9.3  Odstúpenie zo strany Dodávateľa</w:t>
      </w:r>
    </w:p>
    <w:p>
      <w:pPr>
        <w:spacing w:after="40"/>
        <w:ind w:left="454" w:hanging="454"/>
        <w:jc w:val="both"/>
      </w:pPr>
      <w:r>
        <w:rPr>
          <w:rFonts w:ascii="Arial" w:hAnsi="Arial"/>
          <w:b/>
        </w:rPr>
        <w:t xml:space="preserve">2.  </w:t>
      </w:r>
      <w:r>
        <w:rPr>
          <w:rFonts w:ascii="Arial" w:hAnsi="Arial"/>
        </w:rPr>
        <w:t xml:space="preserve">Dodávateľ je oprávnený od Zmluvy odstúpiť, ak je Odberateľ v omeškaní s úhradou faktúry alebo preddavku o </w:t>
      </w:r>
      <w:r>
        <w:rPr>
          <w:rFonts w:ascii="Arial" w:hAnsi="Arial"/>
          <w:b/>
        </w:rPr>
        <w:t>viac ako 60 dní</w:t>
      </w:r>
      <w:r>
        <w:rPr>
          <w:rFonts w:ascii="Arial" w:hAnsi="Arial"/>
        </w:rPr>
        <w:t xml:space="preserve"> po splatnosti a ani po písomnej výzve s dodatočnou primeranou lehotou (nie menej ako 30 dní) neuhradil dlžnú sumu.</w:t>
      </w:r>
    </w:p>
    <w:p>
      <w:pPr>
        <w:spacing w:before="160" w:after="60"/>
      </w:pPr>
      <w:r>
        <w:rPr>
          <w:rFonts w:ascii="Arial" w:hAnsi="Arial"/>
          <w:b/>
          <w:color w:val="2E75B6"/>
          <w:sz w:val="24"/>
        </w:rPr>
        <w:t>9.4  Účinnosť odstúpenia</w:t>
      </w:r>
    </w:p>
    <w:p>
      <w:pPr>
        <w:spacing w:after="40"/>
        <w:ind w:left="454" w:hanging="454"/>
        <w:jc w:val="both"/>
      </w:pPr>
      <w:r>
        <w:rPr>
          <w:rFonts w:ascii="Arial" w:hAnsi="Arial"/>
          <w:b/>
        </w:rPr>
        <w:t xml:space="preserve">3.  </w:t>
      </w:r>
      <w:r>
        <w:rPr>
          <w:rFonts w:ascii="Arial" w:hAnsi="Arial"/>
        </w:rPr>
        <w:t xml:space="preserve">Odstúpenie je účinné </w:t>
      </w:r>
      <w:r>
        <w:rPr>
          <w:rFonts w:ascii="Arial" w:hAnsi="Arial"/>
          <w:b/>
        </w:rPr>
        <w:t>dňom doručenia</w:t>
      </w:r>
      <w:r>
        <w:rPr>
          <w:rFonts w:ascii="Arial" w:hAnsi="Arial"/>
        </w:rPr>
        <w:t xml:space="preserve"> písomného oznámenia druhej Zmluvnej strane.</w:t>
      </w:r>
    </w:p>
    <w:p>
      <w:pPr>
        <w:spacing w:after="40"/>
        <w:ind w:left="454" w:hanging="454"/>
        <w:jc w:val="both"/>
      </w:pPr>
      <w:r>
        <w:rPr>
          <w:rFonts w:ascii="Arial" w:hAnsi="Arial"/>
          <w:b/>
        </w:rPr>
        <w:t xml:space="preserve">4.  </w:t>
      </w:r>
      <w:r>
        <w:rPr>
          <w:rFonts w:ascii="Arial" w:hAnsi="Arial"/>
        </w:rPr>
        <w:t xml:space="preserve">Pri odstúpení od Zmluvy je Dodávateľ povinný zabezpečiť kontinuitu dodávky elektriny do OM najmenej </w:t>
      </w:r>
      <w:r>
        <w:rPr>
          <w:rFonts w:ascii="Arial" w:hAnsi="Arial"/>
          <w:b/>
        </w:rPr>
        <w:t>30 dní</w:t>
      </w:r>
      <w:r>
        <w:rPr>
          <w:rFonts w:ascii="Arial" w:hAnsi="Arial"/>
        </w:rPr>
        <w:t xml:space="preserve"> po doručení oznámenia o odstúpení, aby Odberateľ mal čas na zabezpečenie náhradného dodávateľa, ibaže odstúpenie nastalo z dôvodu uvedeného v bode 9.1 písm. c) (konkurz).</w:t>
      </w:r>
    </w:p>
    <w:p>
      <w:pPr>
        <w:spacing w:before="280" w:after="120"/>
        <w:jc w:val="center"/>
      </w:pPr>
      <w:r>
        <w:rPr>
          <w:rFonts w:ascii="Arial" w:hAnsi="Arial"/>
          <w:b/>
          <w:color w:val="1F4E78"/>
          <w:sz w:val="30"/>
        </w:rPr>
        <w:t>Článok X.   Vyššia moc</w:t>
      </w:r>
    </w:p>
    <w:p>
      <w:pPr>
        <w:spacing w:after="40"/>
        <w:ind w:left="454" w:hanging="454"/>
        <w:jc w:val="both"/>
      </w:pPr>
      <w:r>
        <w:rPr>
          <w:rFonts w:ascii="Arial" w:hAnsi="Arial"/>
          <w:b/>
        </w:rPr>
        <w:t>1.  Žiadna zo Zmluvných strán Rámcovej dohody nezodpovedá za omeškanie alebo neplnenie svojich záväzkov podľa tejto Rámcovej dohody, ak je toto spôsobené okolnosťami vylučujúcimi zodpovednosť (vyššia moc) v zmysle § 374 Obchodného zákonníka.</w:t>
      </w:r>
      <w:r>
        <w:rPr>
          <w:rFonts w:ascii="Arial" w:hAnsi="Arial"/>
        </w:rPr>
      </w:r>
      <w:r>
        <w:rPr>
          <w:rFonts w:ascii="Arial" w:hAnsi="Arial"/>
          <w:b/>
        </w:rPr>
      </w:r>
      <w:r>
        <w:rPr>
          <w:rFonts w:ascii="Arial" w:hAnsi="Arial"/>
        </w:rPr>
      </w:r>
    </w:p>
    <w:p>
      <w:pPr>
        <w:spacing w:after="40"/>
        <w:ind w:left="454" w:hanging="454"/>
        <w:jc w:val="both"/>
      </w:pPr>
      <w:r>
        <w:rPr>
          <w:rFonts w:ascii="Arial" w:hAnsi="Arial"/>
          <w:b/>
        </w:rPr>
        <w:t xml:space="preserve">2.  </w:t>
      </w:r>
      <w:r>
        <w:rPr>
          <w:rFonts w:ascii="Arial" w:hAnsi="Arial"/>
        </w:rPr>
        <w:t>Za vyššiu moc sa považujú najmä:</w:t>
      </w:r>
    </w:p>
    <w:p>
      <w:pPr>
        <w:spacing w:after="40"/>
        <w:ind w:left="397" w:hanging="283"/>
        <w:jc w:val="both"/>
      </w:pPr>
      <w:r>
        <w:rPr>
          <w:rFonts w:ascii="Arial" w:hAnsi="Arial"/>
        </w:rPr>
        <w:t xml:space="preserve">•  </w:t>
      </w:r>
      <w:r>
        <w:rPr>
          <w:rFonts w:ascii="Arial" w:hAnsi="Arial"/>
        </w:rPr>
        <w:t xml:space="preserve">a) vyhlásenie </w:t>
      </w:r>
      <w:r>
        <w:rPr>
          <w:rFonts w:ascii="Arial" w:hAnsi="Arial"/>
          <w:b/>
        </w:rPr>
        <w:t>krízového stavu v elektroenergetike</w:t>
      </w:r>
      <w:r>
        <w:rPr>
          <w:rFonts w:ascii="Arial" w:hAnsi="Arial"/>
        </w:rPr>
        <w:t xml:space="preserve"> podľa § 20 a § 21 zákona č. 251/2012 Z. z. v znení účinnom k 1. 1. 2027;</w:t>
      </w:r>
    </w:p>
    <w:p>
      <w:pPr>
        <w:spacing w:after="40"/>
        <w:ind w:left="397" w:hanging="283"/>
        <w:jc w:val="both"/>
      </w:pPr>
      <w:r>
        <w:rPr>
          <w:rFonts w:ascii="Arial" w:hAnsi="Arial"/>
        </w:rPr>
        <w:t xml:space="preserve">•  </w:t>
      </w:r>
      <w:r>
        <w:rPr>
          <w:rFonts w:ascii="Arial" w:hAnsi="Arial"/>
        </w:rPr>
        <w:t>b) prerušenie dodávky elektriny zo strany PDS z dôvodov nezávislých od Dodávateľa;</w:t>
      </w:r>
    </w:p>
    <w:p>
      <w:pPr>
        <w:spacing w:after="40"/>
        <w:ind w:left="397" w:hanging="283"/>
        <w:jc w:val="both"/>
      </w:pPr>
      <w:r>
        <w:rPr>
          <w:rFonts w:ascii="Arial" w:hAnsi="Arial"/>
        </w:rPr>
        <w:t xml:space="preserve">•  </w:t>
      </w:r>
      <w:r>
        <w:rPr>
          <w:rFonts w:ascii="Arial" w:hAnsi="Arial"/>
        </w:rPr>
        <w:t>c) prerušenie obchodovania na PXE alebo OKTE z dôvodov nezávislých od Dodávateľa;</w:t>
      </w:r>
    </w:p>
    <w:p>
      <w:pPr>
        <w:spacing w:after="40"/>
        <w:ind w:left="397" w:hanging="283"/>
        <w:jc w:val="both"/>
      </w:pPr>
      <w:r>
        <w:rPr>
          <w:rFonts w:ascii="Arial" w:hAnsi="Arial"/>
        </w:rPr>
        <w:t xml:space="preserve">•  </w:t>
      </w:r>
      <w:r>
        <w:rPr>
          <w:rFonts w:ascii="Arial" w:hAnsi="Arial"/>
        </w:rPr>
        <w:t>d) vojnový konflikt, prírodná katastrofa, terorizmus, štrajk celoštátneho rozsahu;</w:t>
      </w:r>
    </w:p>
    <w:p>
      <w:pPr>
        <w:spacing w:after="40"/>
        <w:ind w:left="397" w:hanging="283"/>
        <w:jc w:val="both"/>
      </w:pPr>
      <w:r>
        <w:rPr>
          <w:rFonts w:ascii="Arial" w:hAnsi="Arial"/>
        </w:rPr>
        <w:t xml:space="preserve">•  </w:t>
      </w:r>
      <w:r>
        <w:rPr>
          <w:rFonts w:ascii="Arial" w:hAnsi="Arial"/>
        </w:rPr>
        <w:t>e) mimoriadne legislatívne opatrenia (najmä cenová regulácia ex post zo strany štátu);</w:t>
      </w:r>
    </w:p>
    <w:p>
      <w:pPr>
        <w:spacing w:after="40"/>
        <w:ind w:left="397" w:hanging="283"/>
        <w:jc w:val="both"/>
      </w:pPr>
      <w:r>
        <w:rPr>
          <w:rFonts w:ascii="Arial" w:hAnsi="Arial"/>
        </w:rPr>
        <w:t xml:space="preserve">•  </w:t>
      </w:r>
      <w:r>
        <w:rPr>
          <w:rFonts w:ascii="Arial" w:hAnsi="Arial"/>
        </w:rPr>
        <w:t>f) núdzový stav vyhlásený orgánom verejnej moci na území SR alebo EÚ.</w:t>
      </w:r>
    </w:p>
    <w:p>
      <w:pPr>
        <w:spacing w:after="40"/>
        <w:ind w:left="454" w:hanging="454"/>
        <w:jc w:val="both"/>
      </w:pPr>
      <w:r>
        <w:rPr>
          <w:rFonts w:ascii="Arial" w:hAnsi="Arial"/>
          <w:b/>
        </w:rPr>
        <w:t xml:space="preserve">3.  </w:t>
      </w:r>
      <w:r>
        <w:rPr>
          <w:rFonts w:ascii="Arial" w:hAnsi="Arial"/>
        </w:rPr>
        <w:t xml:space="preserve">Zmluvná strana, ktorej plnenie je dotknuté vyššou mocou, je povinná druhú zmluvnú stranu </w:t>
      </w:r>
      <w:r>
        <w:rPr>
          <w:rFonts w:ascii="Arial" w:hAnsi="Arial"/>
          <w:b/>
        </w:rPr>
        <w:t>bezodkladne písomne informovať</w:t>
      </w:r>
      <w:r>
        <w:rPr>
          <w:rFonts w:ascii="Arial" w:hAnsi="Arial"/>
        </w:rPr>
        <w:t xml:space="preserve">, najneskôr do </w:t>
      </w:r>
      <w:r>
        <w:rPr>
          <w:rFonts w:ascii="Arial" w:hAnsi="Arial"/>
          <w:b/>
        </w:rPr>
        <w:t>5 pracovných dní</w:t>
      </w:r>
      <w:r>
        <w:rPr>
          <w:rFonts w:ascii="Arial" w:hAnsi="Arial"/>
        </w:rPr>
        <w:t xml:space="preserve"> od vzniku prekážky, vrátane predpokladanej doby trvania.</w:t>
      </w:r>
    </w:p>
    <w:p>
      <w:pPr>
        <w:spacing w:after="40"/>
        <w:ind w:left="454" w:hanging="454"/>
        <w:jc w:val="both"/>
      </w:pPr>
      <w:r>
        <w:rPr>
          <w:rFonts w:ascii="Arial" w:hAnsi="Arial"/>
          <w:b/>
        </w:rPr>
        <w:t>4.  Počas trvania vyššej moci nie sú Zmluvné strany Rámcovej dohody v omeškaní a neuplatňujú sa zmluvné pokuty (Článok VII).</w:t>
      </w:r>
      <w:r>
        <w:rPr>
          <w:rFonts w:ascii="Arial" w:hAnsi="Arial"/>
        </w:rPr>
      </w:r>
    </w:p>
    <w:p>
      <w:pPr>
        <w:spacing w:after="40"/>
        <w:ind w:left="454" w:hanging="454"/>
        <w:jc w:val="both"/>
      </w:pPr>
      <w:r>
        <w:rPr>
          <w:rFonts w:ascii="Arial" w:hAnsi="Arial"/>
          <w:b/>
        </w:rPr>
        <w:t>5.  Ak vyššia moc trvá dlhšie ako 60 dní, ktorákoľvek zo Zmluvných strán Rámcovej dohody je oprávnená od Zmluvy odstúpiť bez sankcií písomným oznámením druhej strane.</w:t>
      </w:r>
      <w:r>
        <w:rPr>
          <w:rFonts w:ascii="Arial" w:hAnsi="Arial"/>
        </w:rPr>
      </w:r>
      <w:r>
        <w:rPr>
          <w:rFonts w:ascii="Arial" w:hAnsi="Arial"/>
          <w:b/>
        </w:rPr>
      </w:r>
      <w:r>
        <w:rPr>
          <w:rFonts w:ascii="Arial" w:hAnsi="Arial"/>
        </w:rPr>
      </w:r>
    </w:p>
    <w:p>
      <w:pPr>
        <w:spacing w:before="280" w:after="120"/>
        <w:jc w:val="center"/>
      </w:pPr>
      <w:r>
        <w:rPr>
          <w:rFonts w:ascii="Arial" w:hAnsi="Arial"/>
          <w:b/>
          <w:color w:val="1F4E78"/>
          <w:sz w:val="30"/>
        </w:rPr>
        <w:t>Článok XI.   Záverečné ustanovenia</w:t>
      </w:r>
    </w:p>
    <w:p>
      <w:pPr>
        <w:spacing w:before="160" w:after="60"/>
      </w:pPr>
      <w:r>
        <w:rPr>
          <w:rFonts w:ascii="Arial" w:hAnsi="Arial"/>
          <w:b/>
          <w:color w:val="2E75B6"/>
          <w:sz w:val="24"/>
        </w:rPr>
        <w:t>11.1  Rozhodné právo</w:t>
      </w:r>
    </w:p>
    <w:p>
      <w:pPr>
        <w:spacing w:after="40"/>
        <w:ind w:left="454" w:hanging="454"/>
        <w:jc w:val="both"/>
      </w:pPr>
      <w:r>
        <w:rPr>
          <w:rFonts w:ascii="Arial" w:hAnsi="Arial"/>
          <w:b/>
        </w:rPr>
        <w:t xml:space="preserve">1.  </w:t>
      </w:r>
      <w:r>
        <w:rPr>
          <w:rFonts w:ascii="Arial" w:hAnsi="Arial"/>
        </w:rPr>
        <w:t>Táto Zmluva sa riadi právnym poriadkom Slovenskej republiky, najmä:</w:t>
      </w:r>
    </w:p>
    <w:p>
      <w:pPr>
        <w:spacing w:after="40"/>
        <w:ind w:left="397" w:hanging="283"/>
        <w:jc w:val="both"/>
      </w:pPr>
      <w:r>
        <w:rPr>
          <w:rFonts w:ascii="Arial" w:hAnsi="Arial"/>
        </w:rPr>
        <w:t>•  zákonom č. 251/2012 Z. z. o energetike a o zmene a doplnení niektorých zákonov v znení neskorších predpisov; zákonom č. 250/2012 Z. z. o regulácii v sieťových odvetviach v znení neskorších predpisov ako aj ďalšími všeobecne záväznými právnymi predpismi vzťahujúcimi sa na oblasť elektroenergetiky;</w:t>
      </w:r>
      <w:r>
        <w:rPr>
          <w:rFonts w:ascii="Arial" w:hAnsi="Arial"/>
        </w:rPr>
      </w:r>
    </w:p>
    <w:p>
      <w:pPr>
        <w:spacing w:after="40"/>
        <w:ind w:left="397" w:hanging="283"/>
        <w:jc w:val="both"/>
      </w:pPr>
      <w:r>
        <w:rPr>
          <w:rFonts w:ascii="Arial" w:hAnsi="Arial"/>
        </w:rPr>
        <w:t xml:space="preserve">•  </w:t>
      </w:r>
      <w:r>
        <w:rPr>
          <w:rFonts w:ascii="Arial" w:hAnsi="Arial"/>
        </w:rPr>
        <w:t>zákonom č. 513/1991 Zb. Obchodný zákonník v znení neskorších predpisov;</w:t>
      </w:r>
    </w:p>
    <w:p>
      <w:pPr>
        <w:spacing w:after="40"/>
        <w:ind w:left="397" w:hanging="283"/>
        <w:jc w:val="both"/>
      </w:pPr>
      <w:r>
        <w:rPr>
          <w:rFonts w:ascii="Arial" w:hAnsi="Arial"/>
        </w:rPr>
        <w:t xml:space="preserve">•  </w:t>
      </w:r>
      <w:r>
        <w:rPr>
          <w:rFonts w:ascii="Arial" w:hAnsi="Arial"/>
        </w:rPr>
        <w:t>zákonom č. 343/2015 Z. z. o verejnom obstarávaní v znení neskorších predpisov;</w:t>
      </w:r>
    </w:p>
    <w:p>
      <w:pPr>
        <w:spacing w:after="40"/>
        <w:ind w:left="397" w:hanging="283"/>
        <w:jc w:val="both"/>
      </w:pPr>
      <w:r>
        <w:rPr>
          <w:rFonts w:ascii="Arial" w:hAnsi="Arial"/>
        </w:rPr>
        <w:t xml:space="preserve">•  </w:t>
      </w:r>
      <w:r>
        <w:rPr>
          <w:rFonts w:ascii="Arial" w:hAnsi="Arial"/>
        </w:rPr>
        <w:t>Nariadením (EÚ) 2016/679 (GDPR) a zákonom č. 18/2018 Z. z. o ochrane osobných údajov;</w:t>
      </w:r>
    </w:p>
    <w:p>
      <w:pPr>
        <w:spacing w:after="40"/>
        <w:ind w:left="397" w:hanging="283"/>
        <w:jc w:val="both"/>
      </w:pPr>
      <w:r>
        <w:rPr>
          <w:rFonts w:ascii="Arial" w:hAnsi="Arial"/>
        </w:rPr>
        <w:t xml:space="preserve">•  </w:t>
      </w:r>
      <w:r>
        <w:rPr>
          <w:rFonts w:ascii="Arial" w:hAnsi="Arial"/>
        </w:rPr>
        <w:t>zákonom č. 215/2019 Z. z. o zaručenej elektronickej fakturácii;</w:t>
      </w:r>
    </w:p>
    <w:p>
      <w:pPr>
        <w:spacing w:after="40"/>
        <w:ind w:left="397" w:hanging="283"/>
        <w:jc w:val="both"/>
      </w:pPr>
      <w:r>
        <w:rPr>
          <w:rFonts w:ascii="Arial" w:hAnsi="Arial"/>
        </w:rPr>
        <w:t xml:space="preserve">•  </w:t>
      </w:r>
      <w:r>
        <w:rPr>
          <w:rFonts w:ascii="Arial" w:hAnsi="Arial"/>
        </w:rPr>
        <w:t>zákonom č. 211/2000 Z. z. o slobodnom prístupe k informáciám (Centrálny register zmlúv).</w:t>
      </w:r>
    </w:p>
    <w:p>
      <w:pPr>
        <w:spacing w:before="160" w:after="60"/>
      </w:pPr>
      <w:r>
        <w:rPr>
          <w:rFonts w:ascii="Arial" w:hAnsi="Arial"/>
          <w:b/>
          <w:color w:val="2E75B6"/>
          <w:sz w:val="24"/>
        </w:rPr>
        <w:t>11.2  Účinnosť a zverejnenie</w:t>
      </w:r>
    </w:p>
    <w:p>
      <w:pPr>
        <w:spacing w:after="40"/>
        <w:ind w:left="454" w:hanging="454"/>
        <w:jc w:val="both"/>
      </w:pPr>
      <w:r>
        <w:rPr>
          <w:rFonts w:ascii="Arial" w:hAnsi="Arial"/>
          <w:b/>
        </w:rPr>
        <w:t xml:space="preserve">2.  Rámcová dohoda nadobúda platnosť dňom jej podpisu oboma Zmluvnými stranami a účinnosť </w:t>
      </w:r>
      <w:r>
        <w:rPr>
          <w:rFonts w:ascii="Arial" w:hAnsi="Arial"/>
          <w:b/>
        </w:rPr>
        <w:t xml:space="preserve">dňom nasledujúcim po dni jej zverejnenia v Centrálnom registri zmlúv v zmysle § 47a Občianskeho zákonníka a zákona č. 211/2000 Z. z.</w:t>
      </w:r>
      <w:r>
        <w:rPr>
          <w:rFonts w:ascii="Arial" w:hAnsi="Arial"/>
        </w:rPr>
      </w:r>
      <w:r>
        <w:rPr>
          <w:rFonts w:ascii="Arial" w:hAnsi="Arial"/>
          <w:b/>
        </w:rPr>
      </w:r>
      <w:r>
        <w:rPr>
          <w:rFonts w:ascii="Arial" w:hAnsi="Arial"/>
        </w:rPr>
      </w:r>
    </w:p>
    <w:p>
      <w:pPr>
        <w:spacing w:before="160" w:after="60"/>
      </w:pPr>
      <w:r>
        <w:rPr>
          <w:rFonts w:ascii="Arial" w:hAnsi="Arial"/>
          <w:b/>
          <w:color w:val="2E75B6"/>
          <w:sz w:val="24"/>
        </w:rPr>
        <w:t>11.3  Zmeny Zmluvy a § 18 ZVO</w:t>
      </w:r>
    </w:p>
    <w:p>
      <w:pPr>
        <w:spacing w:after="40"/>
        <w:ind w:left="454" w:hanging="454"/>
        <w:jc w:val="both"/>
      </w:pPr>
      <w:r>
        <w:rPr>
          <w:rFonts w:ascii="Arial" w:hAnsi="Arial"/>
          <w:b/>
        </w:rPr>
        <w:t>3.  Akékoľvek zmeny a doplnky tejto Rámcovej dohody je možné vykonať len písomne, formou číslovaných dodatkov podpísaných oprávnenými zástupcami oboch Zmluvných strán Rámcovej dohody.</w:t>
      </w:r>
      <w:r>
        <w:rPr>
          <w:rFonts w:ascii="Arial" w:hAnsi="Arial"/>
        </w:rPr>
      </w:r>
    </w:p>
    <w:p>
      <w:pPr>
        <w:spacing w:after="40"/>
        <w:ind w:left="454" w:hanging="454"/>
        <w:jc w:val="both"/>
      </w:pPr>
      <w:r>
        <w:rPr>
          <w:rFonts w:ascii="Arial" w:hAnsi="Arial"/>
          <w:b/>
        </w:rPr>
        <w:t>4.  Zmena Zmluvy je prípustná iba v rozsahu povolenom § 18 ZVO. Zmluvné strany Rámcovej dohody sa zaväzujú, že nevykonajú žiadnu zmenu Zmluvy, ktorá by predstavovala podstatnú zmenu v zmysle § 18 ods. 2 ZVO.</w:t>
      </w:r>
      <w:r>
        <w:rPr>
          <w:rFonts w:ascii="Arial" w:hAnsi="Arial"/>
          <w:b/>
        </w:rPr>
      </w:r>
      <w:r>
        <w:rPr>
          <w:rFonts w:ascii="Arial" w:hAnsi="Arial"/>
        </w:rPr>
      </w:r>
    </w:p>
    <w:p>
      <w:pPr>
        <w:spacing w:after="40"/>
        <w:ind w:left="454" w:hanging="454"/>
        <w:jc w:val="both"/>
      </w:pPr>
      <w:r>
        <w:rPr>
          <w:rFonts w:ascii="Arial" w:hAnsi="Arial"/>
          <w:b/>
        </w:rPr>
        <w:t>5.  V prípade, ak v dôsledku zmeny všeobecne záväzných právnych predpisov dôjde k zmene rozsahu povinností ktorejkoľvek Zmluvnej strany, Zmluvné strany Rámcovej dohody sa zaväzujú uzavrieť dodatok upravujúci dotknuté ustanovenia tak, aby Zmluva bola v súlade s novou právnou úpravou (v rozsahu povolenom § 18 ZVO).</w:t>
      </w:r>
      <w:r>
        <w:rPr>
          <w:rFonts w:ascii="Arial" w:hAnsi="Arial"/>
        </w:rPr>
      </w:r>
    </w:p>
    <w:p>
      <w:pPr>
        <w:spacing w:before="160" w:after="60"/>
      </w:pPr>
      <w:r>
        <w:rPr>
          <w:rFonts w:ascii="Arial" w:hAnsi="Arial"/>
          <w:b/>
          <w:color w:val="2E75B6"/>
          <w:sz w:val="24"/>
        </w:rPr>
        <w:t>11.4  Riešenie sporov</w:t>
      </w:r>
    </w:p>
    <w:p>
      <w:pPr>
        <w:spacing w:after="40"/>
        <w:ind w:left="454" w:hanging="454"/>
        <w:jc w:val="both"/>
      </w:pPr>
      <w:r>
        <w:rPr>
          <w:rFonts w:ascii="Arial" w:hAnsi="Arial"/>
          <w:b/>
        </w:rPr>
        <w:t>6.  Zmluvné strany Rámcovej dohody sa zaväzujú riešiť všetky spory vyplývajúce z tejto Rámcovej dohody alebo s ňou súvisiace v prvom rade vzájomnou dohodou. Ak sa spor nepodarí vyriešiť dohodou do 60 dní od jeho vzniku, je príslušný všeobecný súd podľa Civilného sporového poriadku Slovenskej republiky.</w:t>
      </w:r>
      <w:r>
        <w:rPr>
          <w:rFonts w:ascii="Arial" w:hAnsi="Arial"/>
        </w:rPr>
      </w:r>
      <w:r>
        <w:rPr>
          <w:rFonts w:ascii="Arial" w:hAnsi="Arial"/>
          <w:b/>
        </w:rPr>
      </w:r>
      <w:r>
        <w:rPr>
          <w:rFonts w:ascii="Arial" w:hAnsi="Arial"/>
        </w:rPr>
      </w:r>
    </w:p>
    <w:p>
      <w:pPr>
        <w:spacing w:after="40"/>
        <w:ind w:left="454" w:hanging="454"/>
        <w:jc w:val="both"/>
      </w:pPr>
      <w:r>
        <w:rPr>
          <w:rFonts w:ascii="Arial" w:hAnsi="Arial"/>
          <w:b/>
        </w:rPr>
        <w:t>7.  V prípade sporov o cenotvorbu silovej elektriny môžu Zmluvné strany Rámcovej dohody využiť konanie pred ÚRSO.</w:t>
      </w:r>
      <w:r>
        <w:rPr>
          <w:rFonts w:ascii="Arial" w:hAnsi="Arial"/>
        </w:rPr>
      </w:r>
    </w:p>
    <w:p>
      <w:pPr>
        <w:spacing w:before="160" w:after="60"/>
      </w:pPr>
      <w:r>
        <w:rPr>
          <w:rFonts w:ascii="Arial" w:hAnsi="Arial"/>
          <w:b/>
          <w:color w:val="2E75B6"/>
          <w:sz w:val="24"/>
        </w:rPr>
        <w:t>11.5  Forma Rámcovej dohody a Čiastkových zmlúv</w:t>
      </w:r>
    </w:p>
    <w:p>
      <w:pPr>
        <w:spacing w:after="40"/>
        <w:ind w:left="454" w:hanging="454"/>
        <w:jc w:val="both"/>
      </w:pPr>
      <w:r>
        <w:rPr>
          <w:rFonts w:ascii="Arial" w:hAnsi="Arial"/>
          <w:b/>
        </w:rPr>
        <w:t>8.  Rámcová dohoda sa uzatvára v listinnej forme.</w:t>
      </w:r>
      <w:r>
        <w:rPr>
          <w:rFonts w:ascii="Arial" w:hAnsi="Arial"/>
        </w:rPr>
      </w:r>
    </w:p>
    <w:p>
      <w:r>
        <w:rPr>
          <w:rFonts w:ascii="Arial" w:hAnsi="Arial"/>
          <w:sz w:val="20"/>
        </w:rPr>
        <w:t>Čiastkové zmluvy uzavreté ostatnými Obstarávateľmi (mimo Mesta Púchov) sa uzatvárajú tiež v listinnej forme, po dva rovnopisy pre každú Zmluvnú stranu. Čiastkové zmluvy môžu byť podpísané v rôznych termínoch po nadobudnutí účinnosti Rámcovej dohody a najneskôr do 30 dní pred začiatkom dodávky elektriny do OM daného Obstarávateľa.</w:t>
      </w:r>
    </w:p>
    <w:p>
      <w:pPr>
        <w:spacing w:after="40"/>
        <w:ind w:left="454" w:hanging="454"/>
        <w:jc w:val="both"/>
      </w:pPr>
      <w:r>
        <w:rPr>
          <w:rFonts w:ascii="Arial" w:hAnsi="Arial"/>
          <w:b/>
        </w:rPr>
        <w:t xml:space="preserve">9.  </w:t>
      </w:r>
      <w:r>
        <w:rPr>
          <w:rFonts w:ascii="Arial" w:hAnsi="Arial"/>
        </w:rPr>
        <w:t xml:space="preserve">Pri listinnej forme je Zmluva vyhotovená v </w:t>
      </w:r>
      <w:r>
        <w:rPr>
          <w:rFonts w:ascii="Arial" w:hAnsi="Arial"/>
          <w:b/>
        </w:rPr>
        <w:t>dvoch (2) rovnopisoch</w:t>
      </w:r>
      <w:r>
        <w:rPr>
          <w:rFonts w:ascii="Arial" w:hAnsi="Arial"/>
        </w:rPr>
        <w:t xml:space="preserve"> po jednom pre každú Zmluvnú stranu.</w:t>
      </w:r>
    </w:p>
    <w:p>
      <w:pPr>
        <w:spacing w:before="160" w:after="60"/>
      </w:pPr>
      <w:r>
        <w:rPr>
          <w:rFonts w:ascii="Arial" w:hAnsi="Arial"/>
          <w:b/>
          <w:color w:val="2E75B6"/>
          <w:sz w:val="24"/>
        </w:rPr>
        <w:t>11.6  Prílohy Zmluvy</w:t>
      </w:r>
    </w:p>
    <w:p>
      <w:pPr>
        <w:spacing w:after="80"/>
        <w:jc w:val="both"/>
      </w:pPr>
      <w:r>
        <w:rPr>
          <w:rFonts w:ascii="Arial" w:hAnsi="Arial"/>
        </w:rPr>
        <w:t>Zmluva má nasledovné prílohy, ktoré tvoria jej neoddeliteľnú súčasť:</w:t>
      </w:r>
    </w:p>
    <w:p>
      <w:pPr>
        <w:spacing w:after="40"/>
        <w:ind w:left="397" w:hanging="283"/>
        <w:jc w:val="both"/>
      </w:pPr>
      <w:r>
        <w:rPr>
          <w:rFonts w:ascii="Arial" w:hAnsi="Arial"/>
        </w:rPr>
        <w:t>•  Príloha č. 1 – Zoznam a technická špecifikácia OM Odberateľa (v Čiastkových zmluvách sa priloží iba zoznam OM konkrétneho Obstarávateľa)</w:t>
      </w:r>
      <w:r>
        <w:rPr>
          <w:rFonts w:ascii="Arial" w:hAnsi="Arial"/>
          <w:b/>
        </w:rPr>
      </w:r>
      <w:r>
        <w:rPr>
          <w:rFonts w:ascii="Arial" w:hAnsi="Arial"/>
        </w:rPr>
      </w:r>
    </w:p>
    <w:p>
      <w:pPr>
        <w:spacing w:after="40"/>
        <w:ind w:left="397" w:hanging="283"/>
        <w:jc w:val="both"/>
      </w:pPr>
      <w:r>
        <w:rPr>
          <w:rFonts w:ascii="Arial" w:hAnsi="Arial"/>
        </w:rPr>
        <w:t xml:space="preserve">•  </w:t>
      </w:r>
      <w:r>
        <w:rPr>
          <w:rFonts w:ascii="Arial" w:hAnsi="Arial"/>
          <w:b/>
        </w:rPr>
        <w:t>Príloha č. 2</w:t>
      </w:r>
      <w:r>
        <w:rPr>
          <w:rFonts w:ascii="Arial" w:hAnsi="Arial"/>
        </w:rPr>
        <w:t xml:space="preserve"> – Zoznam kontaktných osôb a Subdodávateľov</w:t>
      </w:r>
    </w:p>
    <w:p>
      <w:pPr>
        <w:spacing w:after="40"/>
        <w:ind w:left="397" w:hanging="283"/>
        <w:jc w:val="both"/>
      </w:pPr>
      <w:r>
        <w:rPr>
          <w:rFonts w:ascii="Arial" w:hAnsi="Arial"/>
        </w:rPr>
        <w:t xml:space="preserve">•  </w:t>
      </w:r>
      <w:r>
        <w:rPr>
          <w:rFonts w:ascii="Arial" w:hAnsi="Arial"/>
          <w:b/>
        </w:rPr>
        <w:t>Príloha č. 3</w:t>
      </w:r>
      <w:r>
        <w:rPr>
          <w:rFonts w:ascii="Arial" w:hAnsi="Arial"/>
        </w:rPr>
        <w:t xml:space="preserve"> – Vzor Požiadavky na konfirmáciu a vzor Konfirmácie</w:t>
      </w:r>
    </w:p>
    <w:p>
      <w:pPr>
        <w:spacing w:after="40"/>
        <w:ind w:left="397" w:hanging="283"/>
        <w:jc w:val="both"/>
      </w:pPr>
      <w:r>
        <w:rPr>
          <w:rFonts w:ascii="Arial" w:hAnsi="Arial"/>
        </w:rPr>
        <w:t xml:space="preserve">•  </w:t>
      </w:r>
      <w:r>
        <w:rPr>
          <w:rFonts w:ascii="Arial" w:hAnsi="Arial"/>
          <w:b/>
        </w:rPr>
        <w:t>Príloha č. 4</w:t>
      </w:r>
      <w:r>
        <w:rPr>
          <w:rFonts w:ascii="Arial" w:hAnsi="Arial"/>
        </w:rPr>
        <w:t xml:space="preserve"> – Vzor Krycieho listu</w:t>
      </w:r>
    </w:p>
    <w:p>
      <w:pPr>
        <w:spacing w:after="40"/>
        <w:ind w:left="397" w:hanging="283"/>
        <w:jc w:val="both"/>
      </w:pPr>
      <w:r>
        <w:rPr>
          <w:rFonts w:ascii="Arial" w:hAnsi="Arial"/>
        </w:rPr>
        <w:t xml:space="preserve">•  </w:t>
      </w:r>
      <w:r>
        <w:rPr>
          <w:rFonts w:ascii="Arial" w:hAnsi="Arial"/>
          <w:b/>
        </w:rPr>
        <w:t>Príloha č. 5</w:t>
      </w:r>
      <w:r>
        <w:rPr>
          <w:rFonts w:ascii="Arial" w:hAnsi="Arial"/>
        </w:rPr>
        <w:t xml:space="preserve"> – Obchodné podmienky Dodávateľa (VOP) – doplní Dodávateľ; aplikácia obmedzená klauzulou v Článku I (definícia OP)</w:t>
      </w:r>
    </w:p>
    <w:p>
      <w:pPr>
        <w:spacing w:after="40"/>
        <w:ind w:left="397" w:hanging="283"/>
        <w:jc w:val="both"/>
      </w:pPr>
      <w:r>
        <w:rPr>
          <w:rFonts w:ascii="Arial" w:hAnsi="Arial"/>
        </w:rPr>
        <w:t xml:space="preserve">•  </w:t>
      </w:r>
      <w:r>
        <w:rPr>
          <w:rFonts w:ascii="Arial" w:hAnsi="Arial"/>
          <w:b/>
        </w:rPr>
        <w:t>Príloha č. 6</w:t>
      </w:r>
      <w:r>
        <w:rPr>
          <w:rFonts w:ascii="Arial" w:hAnsi="Arial"/>
        </w:rPr>
        <w:t xml:space="preserve"> – Licencia Dodávateľa – Povolenie ÚRSO na podnikanie v energetike (doplní Dodávateľ)</w:t>
      </w:r>
    </w:p>
    <w:p>
      <w:pPr>
        <w:spacing w:after="40"/>
        <w:ind w:left="397" w:hanging="283"/>
        <w:jc w:val="both"/>
      </w:pPr>
      <w:r>
        <w:rPr>
          <w:rFonts w:ascii="Arial" w:hAnsi="Arial"/>
        </w:rPr>
        <w:t xml:space="preserve">•  Príloha č. 7 – Zoznam Obstarávateľov (16 verejných obstarávateľov v zakladateľskej a zriaďovateľskej pôsobnosti Mesta Púchov, s IČO a DIČ)</w:t>
      </w:r>
    </w:p>
    <w:p>
      <w:pPr>
        <w:spacing w:after="40"/>
        <w:ind w:left="454" w:hanging="454"/>
        <w:jc w:val="both"/>
      </w:pPr>
      <w:r>
        <w:rPr>
          <w:rFonts w:ascii="Arial" w:hAnsi="Arial"/>
          <w:b/>
        </w:rPr>
        <w:t xml:space="preserve">11.  </w:t>
      </w:r>
      <w:r>
        <w:rPr>
          <w:rFonts w:ascii="Arial" w:hAnsi="Arial"/>
        </w:rPr>
        <w:t xml:space="preserve">Prílohy č. 1 až </w:t>
      </w:r>
      <w:r>
        <w:rPr>
          <w:rFonts w:ascii="Arial" w:hAnsi="Arial"/>
        </w:rPr>
        <w:t xml:space="preserve">7</w:t>
      </w:r>
      <w:r>
        <w:rPr>
          <w:rFonts w:ascii="Arial" w:hAnsi="Arial"/>
        </w:rPr>
        <w:t xml:space="preserve"> tvoria neoddeliteľnú súčasť Zmluvy a nemôžu byť uplatňované alebo postupované samostatne.</w:t>
      </w:r>
    </w:p>
    <w:p>
      <w:pPr>
        <w:spacing w:after="80"/>
        <w:jc w:val="both"/>
      </w:pPr>
      <w:r>
        <w:rPr>
          <w:rFonts w:ascii="Arial" w:hAnsi="Arial"/>
        </w:rPr>
        <w:t>V Púchove dňa ____________________   V ____________________ dňa ____________________</w:t>
      </w:r>
    </w:p>
    <w:p>
      <w:pPr>
        <w:spacing w:after="80"/>
        <w:jc w:val="both"/>
      </w:pPr>
      <w:r>
        <w:rPr>
          <w:rFonts w:ascii="Arial" w:hAnsi="Arial"/>
        </w:rPr>
        <w:t>Za Odberateľa:                                                      Za Dodávateľa:</w:t>
      </w:r>
    </w:p>
    <w:p>
      <w:pPr>
        <w:spacing w:after="80"/>
        <w:jc w:val="both"/>
      </w:pPr>
      <w:r>
        <w:rPr>
          <w:rFonts w:ascii="Arial" w:hAnsi="Arial"/>
        </w:rPr>
        <w:t>___________________________                              ___________________________</w:t>
      </w:r>
    </w:p>
    <w:p>
      <w:pPr>
        <w:spacing w:after="80"/>
        <w:jc w:val="both"/>
      </w:pPr>
      <w:r>
        <w:rPr>
          <w:rFonts w:ascii="Arial" w:hAnsi="Arial"/>
        </w:rPr>
        <w:t>JUDr. Katarína Heneková, M. B. A., primátorka mesta                                                   [oprávnený zástupca]</w:t>
      </w:r>
    </w:p>
    <w:p>
      <w:pPr>
        <w:spacing w:after="80"/>
        <w:jc w:val="both"/>
      </w:pPr>
      <w:r>
        <w:rPr>
          <w:rFonts w:ascii="Arial" w:hAnsi="Arial"/>
        </w:rPr>
        <w:t>Mesto Púchov                                                              [obchodné meno Dodávateľa]</w:t>
      </w:r>
    </w:p>
    <w:p>
      <w:r>
        <w:br w:type="page"/>
      </w:r>
    </w:p>
    <w:p>
      <w:pPr>
        <w:spacing w:before="280" w:after="120"/>
        <w:jc w:val="center"/>
      </w:pPr>
      <w:r>
        <w:rPr>
          <w:rFonts w:ascii="Arial" w:hAnsi="Arial"/>
          <w:b/>
          <w:color w:val="1F4E78"/>
          <w:sz w:val="30"/>
        </w:rPr>
        <w:t>Príloha č. 1   Zoznam a technická špecifikácia OM Odberateľa</w:t>
      </w:r>
    </w:p>
    <w:p>
      <w:pPr>
        <w:spacing w:after="80"/>
        <w:jc w:val="both"/>
      </w:pPr>
      <w:r>
        <w:rPr>
          <w:rFonts w:ascii="Arial" w:hAnsi="Arial"/>
        </w:rPr>
        <w:t>Zoznam odberných miest konkrétneho Odberateľa (verejného obstarávateľa) pre účely tejto Rámcovej dohody sa priloží pri podpise Zmluvy formou výpisu z Prílohy č. 1 SP – Zoznam OM všetkých zúčastnených verejných obstarávateľov. Zoznam obsahuje iba OM Odberateľa, ktorý Zmluvu uzatvára, a to s údajmi: EIC kód, adresa, napäťová úroveň, distribučná sadzba a tarifa, typ merania (A / C), istič / rezervovaná kapacita, predpokladaná spotreba na roky 2027 a 2028, poznámky (vrátane prípadného odchylného začiatku dodávky).</w:t>
      </w:r>
      <w:r>
        <w:rPr>
          <w:rFonts w:ascii="Arial" w:hAnsi="Arial"/>
          <w:b/>
        </w:rPr>
      </w:r>
      <w:r>
        <w:rPr>
          <w:rFonts w:ascii="Arial" w:hAnsi="Arial"/>
        </w:rPr>
      </w:r>
    </w:p>
    <w:p>
      <w:pPr>
        <w:spacing w:after="40"/>
        <w:ind w:left="397" w:hanging="283"/>
        <w:jc w:val="both"/>
      </w:pPr>
      <w:r>
        <w:rPr>
          <w:rFonts w:ascii="Arial" w:hAnsi="Arial"/>
        </w:rPr>
        <w:t xml:space="preserve">•  </w:t>
      </w:r>
      <w:r>
        <w:rPr>
          <w:rFonts w:ascii="Arial" w:hAnsi="Arial"/>
        </w:rPr>
        <w:t>identifikáciu Odberateľa a organizácií v jeho zriaďovateľskej pôsobnosti;</w:t>
      </w:r>
    </w:p>
    <w:p>
      <w:pPr>
        <w:spacing w:after="40"/>
        <w:ind w:left="397" w:hanging="283"/>
        <w:jc w:val="both"/>
      </w:pPr>
      <w:r>
        <w:rPr>
          <w:rFonts w:ascii="Arial" w:hAnsi="Arial"/>
        </w:rPr>
        <w:t xml:space="preserve">•  </w:t>
      </w:r>
      <w:r>
        <w:rPr>
          <w:rFonts w:ascii="Arial" w:hAnsi="Arial"/>
        </w:rPr>
        <w:t>EIC kód každého OM;</w:t>
      </w:r>
    </w:p>
    <w:p>
      <w:pPr>
        <w:spacing w:after="40"/>
        <w:ind w:left="397" w:hanging="283"/>
        <w:jc w:val="both"/>
      </w:pPr>
      <w:r>
        <w:rPr>
          <w:rFonts w:ascii="Arial" w:hAnsi="Arial"/>
        </w:rPr>
        <w:t xml:space="preserve">•  </w:t>
      </w:r>
      <w:r>
        <w:rPr>
          <w:rFonts w:ascii="Arial" w:hAnsi="Arial"/>
        </w:rPr>
        <w:t>adresu OM;</w:t>
      </w:r>
    </w:p>
    <w:p>
      <w:pPr>
        <w:spacing w:after="40"/>
        <w:ind w:left="397" w:hanging="283"/>
        <w:jc w:val="both"/>
      </w:pPr>
      <w:r>
        <w:rPr>
          <w:rFonts w:ascii="Arial" w:hAnsi="Arial"/>
        </w:rPr>
        <w:t xml:space="preserve">•  </w:t>
      </w:r>
      <w:r>
        <w:rPr>
          <w:rFonts w:ascii="Arial" w:hAnsi="Arial"/>
        </w:rPr>
        <w:t>napäťovú úroveň (NN / VN);</w:t>
      </w:r>
    </w:p>
    <w:p>
      <w:pPr>
        <w:spacing w:after="40"/>
        <w:ind w:left="397" w:hanging="283"/>
        <w:jc w:val="both"/>
      </w:pPr>
      <w:r>
        <w:rPr>
          <w:rFonts w:ascii="Arial" w:hAnsi="Arial"/>
        </w:rPr>
        <w:t xml:space="preserve">•  distribučnú sadzbu a tarifu;</w:t>
      </w:r>
    </w:p>
    <w:p>
      <w:pPr>
        <w:spacing w:after="40"/>
        <w:ind w:left="397" w:hanging="283"/>
        <w:jc w:val="both"/>
      </w:pPr>
      <w:r>
        <w:rPr>
          <w:rFonts w:ascii="Arial" w:hAnsi="Arial"/>
        </w:rPr>
        <w:t xml:space="preserve">•  typ merania (A / C);</w:t>
      </w:r>
    </w:p>
    <w:p>
      <w:pPr>
        <w:spacing w:after="40"/>
        <w:ind w:left="397" w:hanging="283"/>
        <w:jc w:val="both"/>
      </w:pPr>
      <w:r>
        <w:rPr>
          <w:rFonts w:ascii="Arial" w:hAnsi="Arial"/>
        </w:rPr>
        <w:t xml:space="preserve">•  </w:t>
      </w:r>
      <w:r>
        <w:rPr>
          <w:rFonts w:ascii="Arial" w:hAnsi="Arial"/>
        </w:rPr>
        <w:t>istič / rezervovanú kapacitu;</w:t>
      </w:r>
    </w:p>
    <w:p>
      <w:pPr>
        <w:spacing w:after="40"/>
        <w:ind w:left="397" w:hanging="283"/>
        <w:jc w:val="both"/>
      </w:pPr>
      <w:r>
        <w:rPr>
          <w:rFonts w:ascii="Arial" w:hAnsi="Arial"/>
        </w:rPr>
        <w:t xml:space="preserve">•  </w:t>
      </w:r>
      <w:r>
        <w:rPr>
          <w:rFonts w:ascii="Arial" w:hAnsi="Arial"/>
        </w:rPr>
        <w:t>predpokladanú spotrebu na roky 2027 a 2028;</w:t>
      </w:r>
    </w:p>
    <w:p>
      <w:pPr>
        <w:spacing w:after="40"/>
        <w:ind w:left="397" w:hanging="283"/>
        <w:jc w:val="both"/>
      </w:pPr>
      <w:r>
        <w:rPr>
          <w:rFonts w:ascii="Arial" w:hAnsi="Arial"/>
        </w:rPr>
        <w:t xml:space="preserve">•  </w:t>
      </w:r>
      <w:r>
        <w:rPr>
          <w:rFonts w:ascii="Arial" w:hAnsi="Arial"/>
        </w:rPr>
        <w:t>poznámky k jednotlivým OM.</w:t>
      </w:r>
    </w:p>
    <w:p>
      <w:r>
        <w:br w:type="page"/>
      </w:r>
    </w:p>
    <w:p>
      <w:pPr>
        <w:spacing w:before="280" w:after="120"/>
        <w:jc w:val="center"/>
      </w:pPr>
      <w:r>
        <w:rPr>
          <w:rFonts w:ascii="Arial" w:hAnsi="Arial"/>
          <w:b/>
          <w:color w:val="1F4E78"/>
          <w:sz w:val="30"/>
        </w:rPr>
        <w:t>Príloha č. 2   Zoznam kontaktných osôb a Subdodávateľov</w:t>
      </w:r>
    </w:p>
    <w:p>
      <w:pPr>
        <w:spacing w:before="160" w:after="60"/>
      </w:pPr>
      <w:r>
        <w:rPr>
          <w:rFonts w:ascii="Arial" w:hAnsi="Arial"/>
          <w:b/>
          <w:color w:val="2E75B6"/>
          <w:sz w:val="24"/>
        </w:rPr>
        <w:t>A. Oprávnené osoby Odberateľa</w:t>
      </w:r>
    </w:p>
    <w:tbl>
      <w:tblPr>
        <w:tblStyle w:val="LightGrid-Accent1"/>
        <w:tblW w:type="auto" w:w="0"/>
        <w:tblLook w:firstColumn="1" w:firstRow="1" w:lastColumn="0" w:lastRow="0" w:noHBand="0" w:noVBand="1" w:val="04A0"/>
      </w:tblPr>
      <w:tblGrid>
        <w:gridCol w:w="5043"/>
        <w:gridCol w:w="5043"/>
      </w:tblGrid>
      <w:tr>
        <w:tc>
          <w:tcPr>
            <w:tcW w:type="dxa" w:w="5043"/>
            <w:shd w:fill="1F4E78"/>
          </w:tcPr>
          <w:p>
            <w:r/>
            <w:r>
              <w:rPr>
                <w:rFonts w:ascii="Arial" w:hAnsi="Arial"/>
                <w:b/>
                <w:color w:val="FFFFFF"/>
              </w:rPr>
              <w:t>Rola</w:t>
            </w:r>
          </w:p>
        </w:tc>
        <w:tc>
          <w:tcPr>
            <w:tcW w:type="dxa" w:w="5043"/>
            <w:shd w:fill="1F4E78"/>
          </w:tcPr>
          <w:p>
            <w:r/>
            <w:r>
              <w:rPr>
                <w:rFonts w:ascii="Arial" w:hAnsi="Arial"/>
                <w:b/>
                <w:color w:val="FFFFFF"/>
              </w:rPr>
              <w:t>Identifikácia</w:t>
            </w:r>
          </w:p>
        </w:tc>
      </w:tr>
      <w:tr>
        <w:tc>
          <w:tcPr>
            <w:tcW w:type="dxa" w:w="5043"/>
          </w:tcPr>
          <w:p>
            <w:r/>
            <w:r>
              <w:rPr>
                <w:rFonts w:ascii="Arial" w:hAnsi="Arial"/>
                <w:b/>
              </w:rPr>
              <w:t>Štatutárny zástupca</w:t>
            </w:r>
          </w:p>
        </w:tc>
        <w:tc>
          <w:tcPr>
            <w:tcW w:type="dxa" w:w="5043"/>
          </w:tcPr>
          <w:p>
            <w:r>
              <w:t>JUDr. Katarína Heneková, M. B. A. – primátorka mesta a štatutárny zástupca Mesta Púchov</w:t>
            </w:r>
          </w:p>
        </w:tc>
      </w:tr>
      <w:tr>
        <w:tc>
          <w:tcPr>
            <w:tcW w:type="dxa" w:w="5043"/>
          </w:tcPr>
          <w:p>
            <w:r/>
            <w:r>
              <w:rPr>
                <w:rFonts w:ascii="Arial" w:hAnsi="Arial"/>
                <w:b/>
              </w:rPr>
              <w:t>Zodpovedný za realizáciu Zmluvy</w:t>
            </w:r>
          </w:p>
        </w:tc>
        <w:tc>
          <w:tcPr>
            <w:tcW w:type="dxa" w:w="5043"/>
          </w:tcPr>
          <w:p>
            <w:r>
              <w:t>[meno; funkcia; e-mail; telefón]</w:t>
            </w:r>
          </w:p>
        </w:tc>
      </w:tr>
      <w:tr>
        <w:tc>
          <w:tcPr>
            <w:tcW w:type="dxa" w:w="5043"/>
          </w:tcPr>
          <w:p>
            <w:r/>
            <w:r>
              <w:rPr>
                <w:rFonts w:ascii="Arial" w:hAnsi="Arial"/>
                <w:b/>
              </w:rPr>
              <w:t>Oprávnená osoba pre Konfirmácie (Tranže)</w:t>
            </w:r>
          </w:p>
        </w:tc>
        <w:tc>
          <w:tcPr>
            <w:tcW w:type="dxa" w:w="5043"/>
          </w:tcPr>
          <w:p>
            <w:r>
              <w:t>[meno; funkcia; e-mail; telefón]</w:t>
            </w:r>
          </w:p>
        </w:tc>
      </w:tr>
      <w:tr>
        <w:tc>
          <w:tcPr>
            <w:tcW w:type="dxa" w:w="5043"/>
          </w:tcPr>
          <w:p>
            <w:r/>
            <w:r>
              <w:rPr>
                <w:rFonts w:ascii="Arial" w:hAnsi="Arial"/>
                <w:b/>
              </w:rPr>
              <w:t>Zástupca pre Konfirmácie (záskok)</w:t>
            </w:r>
          </w:p>
        </w:tc>
        <w:tc>
          <w:tcPr>
            <w:tcW w:type="dxa" w:w="5043"/>
          </w:tcPr>
          <w:p>
            <w:r>
              <w:t>[meno; funkcia; e-mail; telefón]</w:t>
            </w:r>
          </w:p>
        </w:tc>
      </w:tr>
      <w:tr>
        <w:tc>
          <w:tcPr>
            <w:tcW w:type="dxa" w:w="5043"/>
          </w:tcPr>
          <w:p>
            <w:r/>
            <w:r>
              <w:rPr>
                <w:rFonts w:ascii="Arial" w:hAnsi="Arial"/>
                <w:b/>
              </w:rPr>
              <w:t>Kontakt pre fakturáciu</w:t>
            </w:r>
          </w:p>
        </w:tc>
        <w:tc>
          <w:tcPr>
            <w:tcW w:type="dxa" w:w="5043"/>
          </w:tcPr>
          <w:p>
            <w:r>
              <w:t>[meno; funkcia; e-mail; telefón]</w:t>
            </w:r>
          </w:p>
        </w:tc>
      </w:tr>
    </w:tbl>
    <w:p>
      <w:pPr>
        <w:spacing w:before="160" w:after="60"/>
      </w:pPr>
      <w:r>
        <w:rPr>
          <w:rFonts w:ascii="Arial" w:hAnsi="Arial"/>
          <w:b/>
          <w:color w:val="2E75B6"/>
          <w:sz w:val="24"/>
        </w:rPr>
        <w:t>B. Oprávnené osoby Dodávateľa</w:t>
      </w:r>
    </w:p>
    <w:tbl>
      <w:tblPr>
        <w:tblStyle w:val="LightGrid-Accent1"/>
        <w:tblW w:type="auto" w:w="0"/>
        <w:tblLook w:firstColumn="1" w:firstRow="1" w:lastColumn="0" w:lastRow="0" w:noHBand="0" w:noVBand="1" w:val="04A0"/>
      </w:tblPr>
      <w:tblGrid>
        <w:gridCol w:w="5043"/>
        <w:gridCol w:w="5043"/>
      </w:tblGrid>
      <w:tr>
        <w:tc>
          <w:tcPr>
            <w:tcW w:type="dxa" w:w="5043"/>
            <w:shd w:fill="1F4E78"/>
          </w:tcPr>
          <w:p>
            <w:r/>
            <w:r>
              <w:rPr>
                <w:rFonts w:ascii="Arial" w:hAnsi="Arial"/>
                <w:b/>
                <w:color w:val="FFFFFF"/>
              </w:rPr>
              <w:t>Rola</w:t>
            </w:r>
          </w:p>
        </w:tc>
        <w:tc>
          <w:tcPr>
            <w:tcW w:type="dxa" w:w="5043"/>
            <w:shd w:fill="1F4E78"/>
          </w:tcPr>
          <w:p>
            <w:r/>
            <w:r>
              <w:rPr>
                <w:rFonts w:ascii="Arial" w:hAnsi="Arial"/>
                <w:b/>
                <w:color w:val="FFFFFF"/>
              </w:rPr>
              <w:t>Identifikácia</w:t>
            </w:r>
          </w:p>
        </w:tc>
      </w:tr>
      <w:tr>
        <w:tc>
          <w:tcPr>
            <w:tcW w:type="dxa" w:w="5043"/>
          </w:tcPr>
          <w:p>
            <w:r/>
            <w:r>
              <w:rPr>
                <w:rFonts w:ascii="Arial" w:hAnsi="Arial"/>
                <w:b/>
              </w:rPr>
              <w:t>Štatutárny zástupca</w:t>
            </w:r>
          </w:p>
        </w:tc>
        <w:tc>
          <w:tcPr>
            <w:tcW w:type="dxa" w:w="5043"/>
          </w:tcPr>
          <w:p>
            <w:r>
              <w:t>[doplní úspešný uchádzač]</w:t>
            </w:r>
          </w:p>
        </w:tc>
      </w:tr>
      <w:tr>
        <w:tc>
          <w:tcPr>
            <w:tcW w:type="dxa" w:w="5043"/>
          </w:tcPr>
          <w:p>
            <w:r/>
            <w:r>
              <w:rPr>
                <w:rFonts w:ascii="Arial" w:hAnsi="Arial"/>
                <w:b/>
              </w:rPr>
              <w:t>Account manažér</w:t>
            </w:r>
          </w:p>
        </w:tc>
        <w:tc>
          <w:tcPr>
            <w:tcW w:type="dxa" w:w="5043"/>
          </w:tcPr>
          <w:p>
            <w:r>
              <w:t>[doplní úspešný uchádzač]</w:t>
            </w:r>
          </w:p>
        </w:tc>
      </w:tr>
      <w:tr>
        <w:tc>
          <w:tcPr>
            <w:tcW w:type="dxa" w:w="5043"/>
          </w:tcPr>
          <w:p>
            <w:r/>
            <w:r>
              <w:rPr>
                <w:rFonts w:ascii="Arial" w:hAnsi="Arial"/>
                <w:b/>
              </w:rPr>
              <w:t>Oprávnená osoba pre Konfirmácie</w:t>
            </w:r>
          </w:p>
        </w:tc>
        <w:tc>
          <w:tcPr>
            <w:tcW w:type="dxa" w:w="5043"/>
          </w:tcPr>
          <w:p>
            <w:r>
              <w:t>[doplní úspešný uchádzač]</w:t>
            </w:r>
          </w:p>
        </w:tc>
      </w:tr>
      <w:tr>
        <w:tc>
          <w:tcPr>
            <w:tcW w:type="dxa" w:w="5043"/>
          </w:tcPr>
          <w:p>
            <w:r/>
            <w:r>
              <w:rPr>
                <w:rFonts w:ascii="Arial" w:hAnsi="Arial"/>
                <w:b/>
              </w:rPr>
              <w:t>Zástupca pre Konfirmácie (záskok)</w:t>
            </w:r>
          </w:p>
        </w:tc>
        <w:tc>
          <w:tcPr>
            <w:tcW w:type="dxa" w:w="5043"/>
          </w:tcPr>
          <w:p>
            <w:r>
              <w:t>[doplní úspešný uchádzač]</w:t>
            </w:r>
          </w:p>
        </w:tc>
      </w:tr>
      <w:tr>
        <w:tc>
          <w:tcPr>
            <w:tcW w:type="dxa" w:w="5043"/>
          </w:tcPr>
          <w:p>
            <w:r/>
            <w:r>
              <w:rPr>
                <w:rFonts w:ascii="Arial" w:hAnsi="Arial"/>
                <w:b/>
              </w:rPr>
              <w:t>Infolinka pre poruchy / reklamácie</w:t>
            </w:r>
          </w:p>
        </w:tc>
        <w:tc>
          <w:tcPr>
            <w:tcW w:type="dxa" w:w="5043"/>
          </w:tcPr>
          <w:p>
            <w:r>
              <w:t>[doplní úspešný uchádzač – telefón 24/7, e-mail]</w:t>
            </w:r>
          </w:p>
        </w:tc>
      </w:tr>
    </w:tbl>
    <w:p>
      <w:pPr>
        <w:spacing w:before="160" w:after="60"/>
      </w:pPr>
      <w:r>
        <w:rPr>
          <w:rFonts w:ascii="Arial" w:hAnsi="Arial"/>
          <w:b/>
          <w:color w:val="2E75B6"/>
          <w:sz w:val="24"/>
        </w:rPr>
        <w:t>C. Subdodávatelia Dodávateľa</w:t>
      </w:r>
    </w:p>
    <w:p>
      <w:pPr>
        <w:spacing w:after="80"/>
        <w:jc w:val="both"/>
      </w:pPr>
      <w:r>
        <w:rPr>
          <w:rFonts w:ascii="Arial" w:hAnsi="Arial"/>
        </w:rPr>
        <w:t>Zoznam Subdodávateľov, ich rozsah plnenia a percentuálny podiel:</w:t>
      </w:r>
    </w:p>
    <w:tbl>
      <w:tblPr>
        <w:tblStyle w:val="LightGrid-Accent1"/>
        <w:tblW w:type="auto" w:w="0"/>
        <w:tblLook w:firstColumn="1" w:firstRow="1" w:lastColumn="0" w:lastRow="0" w:noHBand="0" w:noVBand="1" w:val="04A0"/>
      </w:tblPr>
      <w:tblGrid>
        <w:gridCol w:w="2521"/>
        <w:gridCol w:w="2521"/>
        <w:gridCol w:w="2521"/>
        <w:gridCol w:w="2521"/>
      </w:tblGrid>
      <w:tr>
        <w:tc>
          <w:tcPr>
            <w:tcW w:type="dxa" w:w="2521"/>
            <w:shd w:fill="1F4E78"/>
          </w:tcPr>
          <w:p>
            <w:r/>
            <w:r>
              <w:rPr>
                <w:rFonts w:ascii="Arial" w:hAnsi="Arial"/>
                <w:b/>
                <w:color w:val="FFFFFF"/>
              </w:rPr>
              <w:t>Obchodné meno</w:t>
            </w:r>
          </w:p>
        </w:tc>
        <w:tc>
          <w:tcPr>
            <w:tcW w:type="dxa" w:w="2521"/>
            <w:shd w:fill="1F4E78"/>
          </w:tcPr>
          <w:p>
            <w:r/>
            <w:r>
              <w:rPr>
                <w:rFonts w:ascii="Arial" w:hAnsi="Arial"/>
                <w:b/>
                <w:color w:val="FFFFFF"/>
              </w:rPr>
              <w:t>Rozsah plnenia</w:t>
            </w:r>
          </w:p>
        </w:tc>
        <w:tc>
          <w:tcPr>
            <w:tcW w:type="dxa" w:w="2521"/>
            <w:shd w:fill="1F4E78"/>
          </w:tcPr>
          <w:p>
            <w:r/>
            <w:r>
              <w:rPr>
                <w:rFonts w:ascii="Arial" w:hAnsi="Arial"/>
                <w:b/>
                <w:color w:val="FFFFFF"/>
              </w:rPr>
              <w:t>% podiel</w:t>
            </w:r>
          </w:p>
        </w:tc>
        <w:tc>
          <w:tcPr>
            <w:tcW w:type="dxa" w:w="2521"/>
            <w:shd w:fill="1F4E78"/>
          </w:tcPr>
          <w:p>
            <w:r/>
            <w:r>
              <w:rPr>
                <w:rFonts w:ascii="Arial" w:hAnsi="Arial"/>
                <w:b/>
                <w:color w:val="FFFFFF"/>
              </w:rPr>
              <w:t>IČO</w:t>
            </w:r>
          </w:p>
        </w:tc>
      </w:tr>
      <w:tr>
        <w:tc>
          <w:tcPr>
            <w:tcW w:type="dxa" w:w="2521"/>
          </w:tcPr>
          <w:p>
            <w:r>
              <w:t>[doplní úspešný uchádzač alebo „nevyužije sa"]</w:t>
            </w:r>
          </w:p>
        </w:tc>
        <w:tc>
          <w:tcPr>
            <w:tcW w:type="dxa" w:w="2521"/>
          </w:tcPr>
          <w:p/>
        </w:tc>
        <w:tc>
          <w:tcPr>
            <w:tcW w:type="dxa" w:w="2521"/>
          </w:tcPr>
          <w:p/>
        </w:tc>
        <w:tc>
          <w:tcPr>
            <w:tcW w:type="dxa" w:w="2521"/>
          </w:tcPr>
          <w:p/>
        </w:tc>
      </w:tr>
    </w:tbl>
    <w:p>
      <w:r>
        <w:br w:type="page"/>
      </w:r>
    </w:p>
    <w:p>
      <w:pPr>
        <w:spacing w:before="280" w:after="120"/>
        <w:jc w:val="center"/>
      </w:pPr>
      <w:r>
        <w:rPr>
          <w:rFonts w:ascii="Arial" w:hAnsi="Arial"/>
          <w:b/>
          <w:color w:val="1F4E78"/>
          <w:sz w:val="30"/>
        </w:rPr>
        <w:t>Príloha č. 3   Vzor Požiadavky na konfirmáciu a vzor Konfirmácie</w:t>
      </w:r>
    </w:p>
    <w:p>
      <w:pPr>
        <w:spacing w:before="160" w:after="60"/>
      </w:pPr>
      <w:r>
        <w:rPr>
          <w:rFonts w:ascii="Arial" w:hAnsi="Arial"/>
          <w:b/>
          <w:color w:val="2E75B6"/>
          <w:sz w:val="24"/>
        </w:rPr>
        <w:t>A. Vzor Požiadavky na konfirmáciu</w:t>
      </w:r>
    </w:p>
    <w:p>
      <w:pPr>
        <w:spacing w:after="80"/>
        <w:jc w:val="both"/>
      </w:pPr>
      <w:r>
        <w:rPr>
          <w:rFonts w:ascii="Arial" w:hAnsi="Arial"/>
          <w:i/>
        </w:rPr>
        <w:t>(zasiela Odberateľ Dodávateľovi)</w:t>
      </w:r>
    </w:p>
    <w:tbl>
      <w:tblPr>
        <w:tblStyle w:val="LightGrid-Accent1"/>
        <w:tblW w:type="auto" w:w="0"/>
        <w:tblLook w:firstColumn="1" w:firstRow="1" w:lastColumn="0" w:lastRow="0" w:noHBand="0" w:noVBand="1" w:val="04A0"/>
      </w:tblPr>
      <w:tblGrid>
        <w:gridCol w:w="5043"/>
        <w:gridCol w:w="5043"/>
      </w:tblGrid>
      <w:tr>
        <w:tc>
          <w:tcPr>
            <w:tcW w:type="dxa" w:w="2835"/>
          </w:tcPr>
          <w:p>
            <w:r/>
            <w:r>
              <w:rPr>
                <w:rFonts w:ascii="Arial" w:hAnsi="Arial"/>
                <w:b/>
              </w:rPr>
              <w:t>Predmet požiadavky:</w:t>
            </w:r>
          </w:p>
        </w:tc>
        <w:tc>
          <w:tcPr>
            <w:tcW w:type="dxa" w:w="6236"/>
          </w:tcPr>
          <w:p>
            <w:r>
              <w:t>Požiadavka na cenovú ponuku Tranže podľa Rámcovej dohody o združenej dodávke elektriny</w:t>
            </w:r>
            <w:r>
              <w:rPr>
                <w:rFonts w:ascii="Arial" w:hAnsi="Arial"/>
              </w:rPr>
            </w:r>
          </w:p>
        </w:tc>
      </w:tr>
      <w:tr>
        <w:tc>
          <w:tcPr>
            <w:tcW w:type="dxa" w:w="2835"/>
          </w:tcPr>
          <w:p>
            <w:r/>
            <w:r>
              <w:rPr>
                <w:rFonts w:ascii="Arial" w:hAnsi="Arial"/>
                <w:b/>
              </w:rPr>
              <w:t>Odberateľ:</w:t>
            </w:r>
          </w:p>
        </w:tc>
        <w:tc>
          <w:tcPr>
            <w:tcW w:type="dxa" w:w="6236"/>
          </w:tcPr>
          <w:p>
            <w:r/>
            <w:r>
              <w:rPr>
                <w:rFonts w:ascii="Arial" w:hAnsi="Arial"/>
              </w:rPr>
              <w:t>Mesto Púchov, IČO 00 317 748</w:t>
            </w:r>
          </w:p>
        </w:tc>
      </w:tr>
      <w:tr>
        <w:tc>
          <w:tcPr>
            <w:tcW w:type="dxa" w:w="2835"/>
          </w:tcPr>
          <w:p>
            <w:r/>
            <w:r>
              <w:rPr>
                <w:rFonts w:ascii="Arial" w:hAnsi="Arial"/>
                <w:b/>
              </w:rPr>
              <w:t>Číslo zmluvy:</w:t>
            </w:r>
          </w:p>
        </w:tc>
        <w:tc>
          <w:tcPr>
            <w:tcW w:type="dxa" w:w="6236"/>
          </w:tcPr>
          <w:p>
            <w:r/>
            <w:r>
              <w:rPr>
                <w:rFonts w:ascii="Arial" w:hAnsi="Arial"/>
              </w:rPr>
              <w:t>[doplniť]</w:t>
            </w:r>
          </w:p>
        </w:tc>
      </w:tr>
      <w:tr>
        <w:tc>
          <w:tcPr>
            <w:tcW w:type="dxa" w:w="2835"/>
          </w:tcPr>
          <w:p>
            <w:r/>
            <w:r>
              <w:rPr>
                <w:rFonts w:ascii="Arial" w:hAnsi="Arial"/>
                <w:b/>
              </w:rPr>
              <w:t>Dátum a čas požiadavky:</w:t>
            </w:r>
          </w:p>
        </w:tc>
        <w:tc>
          <w:tcPr>
            <w:tcW w:type="dxa" w:w="6236"/>
          </w:tcPr>
          <w:p>
            <w:r/>
            <w:r>
              <w:rPr>
                <w:rFonts w:ascii="Arial" w:hAnsi="Arial"/>
              </w:rPr>
              <w:t>[deň. mesiac. rok, hh:mm]</w:t>
            </w:r>
          </w:p>
        </w:tc>
      </w:tr>
      <w:tr>
        <w:tc>
          <w:tcPr>
            <w:tcW w:type="dxa" w:w="2835"/>
          </w:tcPr>
          <w:p>
            <w:r/>
            <w:r>
              <w:rPr>
                <w:rFonts w:ascii="Arial" w:hAnsi="Arial"/>
                <w:b/>
              </w:rPr>
              <w:t>Kalendárny rok dodávky:</w:t>
            </w:r>
          </w:p>
        </w:tc>
        <w:tc>
          <w:tcPr>
            <w:tcW w:type="dxa" w:w="6236"/>
          </w:tcPr>
          <w:p>
            <w:r/>
            <w:r>
              <w:rPr>
                <w:rFonts w:ascii="Arial" w:hAnsi="Arial"/>
              </w:rPr>
              <w:t>[2027 / 2028]</w:t>
            </w:r>
          </w:p>
        </w:tc>
      </w:tr>
      <w:tr>
        <w:tc>
          <w:tcPr>
            <w:tcW w:type="dxa" w:w="2835"/>
          </w:tcPr>
          <w:p>
            <w:r/>
            <w:r>
              <w:rPr>
                <w:rFonts w:ascii="Arial" w:hAnsi="Arial"/>
                <w:b/>
              </w:rPr>
              <w:t>Objem Tranže (MWh):</w:t>
            </w:r>
          </w:p>
        </w:tc>
        <w:tc>
          <w:tcPr>
            <w:tcW w:type="dxa" w:w="6236"/>
          </w:tcPr>
          <w:p>
            <w:r/>
            <w:r>
              <w:rPr>
                <w:rFonts w:ascii="Arial" w:hAnsi="Arial"/>
              </w:rPr>
              <w:t>[minimálne 50 % KZOO príslušného roka]</w:t>
            </w:r>
          </w:p>
        </w:tc>
      </w:tr>
      <w:tr>
        <w:tc>
          <w:tcPr>
            <w:tcW w:type="dxa" w:w="2835"/>
          </w:tcPr>
          <w:p>
            <w:r/>
            <w:r>
              <w:rPr>
                <w:rFonts w:ascii="Arial" w:hAnsi="Arial"/>
                <w:b/>
              </w:rPr>
              <w:t>Požadovaný čas ocenenia:</w:t>
            </w:r>
          </w:p>
        </w:tc>
        <w:tc>
          <w:tcPr>
            <w:tcW w:type="dxa" w:w="6236"/>
          </w:tcPr>
          <w:p>
            <w:r/>
            <w:r>
              <w:rPr>
                <w:rFonts w:ascii="Arial" w:hAnsi="Arial"/>
              </w:rPr>
              <w:t>[hh:mm, najmenej 70 minút od odoslania požiadavky]</w:t>
            </w:r>
          </w:p>
        </w:tc>
      </w:tr>
      <w:tr>
        <w:tc>
          <w:tcPr>
            <w:tcW w:type="dxa" w:w="2835"/>
          </w:tcPr>
          <w:p>
            <w:r/>
            <w:r>
              <w:rPr>
                <w:rFonts w:ascii="Arial" w:hAnsi="Arial"/>
                <w:b/>
              </w:rPr>
              <w:t>Oprávnená osoba Odberateľa:</w:t>
            </w:r>
          </w:p>
        </w:tc>
        <w:tc>
          <w:tcPr>
            <w:tcW w:type="dxa" w:w="6236"/>
          </w:tcPr>
          <w:p>
            <w:r/>
            <w:r>
              <w:rPr>
                <w:rFonts w:ascii="Arial" w:hAnsi="Arial"/>
              </w:rPr>
              <w:t>[meno, podpis, telefón pre overenie]</w:t>
            </w:r>
          </w:p>
        </w:tc>
      </w:tr>
    </w:tbl>
    <w:p>
      <w:pPr>
        <w:spacing w:after="80"/>
        <w:jc w:val="both"/>
      </w:pPr>
      <w:r>
        <w:rPr>
          <w:rFonts w:ascii="Arial" w:hAnsi="Arial"/>
          <w:i/>
        </w:rPr>
        <w:t>Požiadavka sa zasiela formou e-mailu na adresu uvedenú v Prílohe č. 2 + telefonickým upozornením.</w:t>
      </w:r>
    </w:p>
    <w:p>
      <w:pPr>
        <w:spacing w:before="160" w:after="60"/>
      </w:pPr>
      <w:r>
        <w:rPr>
          <w:rFonts w:ascii="Arial" w:hAnsi="Arial"/>
          <w:b/>
          <w:color w:val="2E75B6"/>
          <w:sz w:val="24"/>
        </w:rPr>
        <w:t>B. Vzor Konfirmácie</w:t>
      </w:r>
    </w:p>
    <w:p>
      <w:pPr>
        <w:spacing w:after="80"/>
        <w:jc w:val="both"/>
      </w:pPr>
      <w:r>
        <w:rPr>
          <w:rFonts w:ascii="Arial" w:hAnsi="Arial"/>
          <w:i/>
        </w:rPr>
        <w:t>(vyhotovuje Dodávateľ a podpisujú obe Zmluvné strany Rámcovej dohody)</w:t>
      </w:r>
    </w:p>
    <w:tbl>
      <w:tblPr>
        <w:tblStyle w:val="LightGrid-Accent1"/>
        <w:tblW w:type="auto" w:w="0"/>
        <w:tblLook w:firstColumn="1" w:firstRow="1" w:lastColumn="0" w:lastRow="0" w:noHBand="0" w:noVBand="1" w:val="04A0"/>
      </w:tblPr>
      <w:tblGrid>
        <w:gridCol w:w="5043"/>
        <w:gridCol w:w="5043"/>
      </w:tblGrid>
      <w:tr>
        <w:tc>
          <w:tcPr>
            <w:tcW w:type="dxa" w:w="2835"/>
          </w:tcPr>
          <w:p>
            <w:r/>
            <w:r>
              <w:rPr>
                <w:rFonts w:ascii="Arial" w:hAnsi="Arial"/>
                <w:b/>
              </w:rPr>
              <w:t>Predmet:</w:t>
            </w:r>
          </w:p>
        </w:tc>
        <w:tc>
          <w:tcPr>
            <w:tcW w:type="dxa" w:w="6236"/>
          </w:tcPr>
          <w:p>
            <w:r/>
            <w:r>
              <w:rPr>
                <w:rFonts w:ascii="Arial" w:hAnsi="Arial"/>
              </w:rPr>
              <w:t>Konfirmácia Tranže – fixácia ceny silovej elektriny</w:t>
            </w:r>
          </w:p>
        </w:tc>
      </w:tr>
      <w:tr>
        <w:tc>
          <w:tcPr>
            <w:tcW w:type="dxa" w:w="2835"/>
          </w:tcPr>
          <w:p>
            <w:r/>
            <w:r>
              <w:rPr>
                <w:rFonts w:ascii="Arial" w:hAnsi="Arial"/>
                <w:b/>
              </w:rPr>
              <w:t>Číslo Konfirmácie:</w:t>
            </w:r>
          </w:p>
        </w:tc>
        <w:tc>
          <w:tcPr>
            <w:tcW w:type="dxa" w:w="6236"/>
          </w:tcPr>
          <w:p>
            <w:r/>
            <w:r>
              <w:rPr>
                <w:rFonts w:ascii="Arial" w:hAnsi="Arial"/>
              </w:rPr>
              <w:t>[poradové číslo / rok]</w:t>
            </w:r>
          </w:p>
        </w:tc>
      </w:tr>
      <w:tr>
        <w:tc>
          <w:tcPr>
            <w:tcW w:type="dxa" w:w="2835"/>
          </w:tcPr>
          <w:p>
            <w:r/>
            <w:r>
              <w:rPr>
                <w:rFonts w:ascii="Arial" w:hAnsi="Arial"/>
                <w:b/>
              </w:rPr>
              <w:t>Dodávateľ:</w:t>
            </w:r>
          </w:p>
        </w:tc>
        <w:tc>
          <w:tcPr>
            <w:tcW w:type="dxa" w:w="6236"/>
          </w:tcPr>
          <w:p>
            <w:r/>
            <w:r>
              <w:rPr>
                <w:rFonts w:ascii="Arial" w:hAnsi="Arial"/>
              </w:rPr>
              <w:t>[obchodné meno, IČO]</w:t>
            </w:r>
          </w:p>
        </w:tc>
      </w:tr>
      <w:tr>
        <w:tc>
          <w:tcPr>
            <w:tcW w:type="dxa" w:w="2835"/>
          </w:tcPr>
          <w:p>
            <w:r/>
            <w:r>
              <w:rPr>
                <w:rFonts w:ascii="Arial" w:hAnsi="Arial"/>
                <w:b/>
              </w:rPr>
              <w:t>Odberateľ:</w:t>
            </w:r>
          </w:p>
        </w:tc>
        <w:tc>
          <w:tcPr>
            <w:tcW w:type="dxa" w:w="6236"/>
          </w:tcPr>
          <w:p>
            <w:r/>
            <w:r>
              <w:rPr>
                <w:rFonts w:ascii="Arial" w:hAnsi="Arial"/>
              </w:rPr>
              <w:t>Mesto Púchov, IČO 00 317 748</w:t>
            </w:r>
          </w:p>
        </w:tc>
      </w:tr>
      <w:tr>
        <w:tc>
          <w:tcPr>
            <w:tcW w:type="dxa" w:w="2835"/>
          </w:tcPr>
          <w:p>
            <w:r/>
            <w:r>
              <w:rPr>
                <w:rFonts w:ascii="Arial" w:hAnsi="Arial"/>
                <w:b/>
              </w:rPr>
              <w:t>Číslo zmluvy:</w:t>
            </w:r>
          </w:p>
        </w:tc>
        <w:tc>
          <w:tcPr>
            <w:tcW w:type="dxa" w:w="6236"/>
          </w:tcPr>
          <w:p>
            <w:r/>
            <w:r>
              <w:rPr>
                <w:rFonts w:ascii="Arial" w:hAnsi="Arial"/>
              </w:rPr>
              <w:t>[doplniť]</w:t>
            </w:r>
          </w:p>
        </w:tc>
      </w:tr>
      <w:tr>
        <w:tc>
          <w:tcPr>
            <w:tcW w:type="dxa" w:w="2835"/>
          </w:tcPr>
          <w:p>
            <w:r/>
            <w:r>
              <w:rPr>
                <w:rFonts w:ascii="Arial" w:hAnsi="Arial"/>
                <w:b/>
              </w:rPr>
              <w:t>Dátum a čas fixácie:</w:t>
            </w:r>
          </w:p>
        </w:tc>
        <w:tc>
          <w:tcPr>
            <w:tcW w:type="dxa" w:w="6236"/>
          </w:tcPr>
          <w:p>
            <w:r/>
            <w:r>
              <w:rPr>
                <w:rFonts w:ascii="Arial" w:hAnsi="Arial"/>
              </w:rPr>
              <w:t>[deň. mesiac. rok, hh:mm]</w:t>
            </w:r>
          </w:p>
        </w:tc>
      </w:tr>
      <w:tr>
        <w:tc>
          <w:tcPr>
            <w:tcW w:type="dxa" w:w="2835"/>
          </w:tcPr>
          <w:p>
            <w:r/>
            <w:r>
              <w:rPr>
                <w:rFonts w:ascii="Arial" w:hAnsi="Arial"/>
                <w:b/>
              </w:rPr>
              <w:t>Kalendárny rok dodávky:</w:t>
            </w:r>
          </w:p>
        </w:tc>
        <w:tc>
          <w:tcPr>
            <w:tcW w:type="dxa" w:w="6236"/>
          </w:tcPr>
          <w:p>
            <w:r/>
            <w:r>
              <w:rPr>
                <w:rFonts w:ascii="Arial" w:hAnsi="Arial"/>
              </w:rPr>
              <w:t>[Cal-27 / Cal-28]</w:t>
            </w:r>
          </w:p>
        </w:tc>
      </w:tr>
      <w:tr>
        <w:tc>
          <w:tcPr>
            <w:tcW w:type="dxa" w:w="2835"/>
          </w:tcPr>
          <w:p>
            <w:r/>
            <w:r>
              <w:rPr>
                <w:rFonts w:ascii="Arial" w:hAnsi="Arial"/>
                <w:b/>
              </w:rPr>
              <w:t>Produkt PXE:</w:t>
            </w:r>
          </w:p>
        </w:tc>
        <w:tc>
          <w:tcPr>
            <w:tcW w:type="dxa" w:w="6236"/>
          </w:tcPr>
          <w:p>
            <w:r/>
            <w:r>
              <w:rPr>
                <w:rFonts w:ascii="Arial" w:hAnsi="Arial"/>
              </w:rPr>
              <w:t>SLOVAK BASE LOAD YEAR FUTURES</w:t>
            </w:r>
          </w:p>
        </w:tc>
      </w:tr>
      <w:tr>
        <w:tc>
          <w:tcPr>
            <w:tcW w:type="dxa" w:w="2835"/>
          </w:tcPr>
          <w:p>
            <w:r/>
            <w:r>
              <w:rPr>
                <w:rFonts w:ascii="Arial" w:hAnsi="Arial"/>
                <w:b/>
              </w:rPr>
              <w:t>Použitá cena Best-ASK (pri automatickej fixácii Settlement):</w:t>
            </w:r>
          </w:p>
        </w:tc>
        <w:tc>
          <w:tcPr>
            <w:tcW w:type="dxa" w:w="6236"/>
          </w:tcPr>
          <w:p>
            <w:r/>
            <w:r>
              <w:rPr>
                <w:rFonts w:ascii="Arial" w:hAnsi="Arial"/>
              </w:rPr>
              <w:t>[hodnota Cal-Xx v EUR/MWh, zaokrúhlená na 4 desat. miesta]</w:t>
            </w:r>
          </w:p>
        </w:tc>
      </w:tr>
      <w:tr>
        <w:tc>
          <w:tcPr>
            <w:tcW w:type="dxa" w:w="2835"/>
          </w:tcPr>
          <w:p>
            <w:r/>
            <w:r>
              <w:rPr>
                <w:rFonts w:ascii="Arial" w:hAnsi="Arial"/>
                <w:b/>
              </w:rPr>
              <w:t>Koeficient K:</w:t>
            </w:r>
          </w:p>
        </w:tc>
        <w:tc>
          <w:tcPr>
            <w:tcW w:type="dxa" w:w="6236"/>
          </w:tcPr>
          <w:p>
            <w:r/>
            <w:r>
              <w:rPr>
                <w:rFonts w:ascii="Arial" w:hAnsi="Arial"/>
              </w:rPr>
              <w:t>[hodnota K v EUR/MWh = výsledok aukcie]</w:t>
            </w:r>
          </w:p>
        </w:tc>
      </w:tr>
      <w:tr>
        <w:tc>
          <w:tcPr>
            <w:tcW w:type="dxa" w:w="2835"/>
          </w:tcPr>
          <w:p>
            <w:r/>
            <w:r>
              <w:rPr>
                <w:rFonts w:ascii="Arial" w:hAnsi="Arial"/>
                <w:b/>
              </w:rPr>
              <w:t>Cena za 1 MWh (K + Cal-Xx):</w:t>
            </w:r>
          </w:p>
        </w:tc>
        <w:tc>
          <w:tcPr>
            <w:tcW w:type="dxa" w:w="6236"/>
          </w:tcPr>
          <w:p>
            <w:r/>
            <w:r>
              <w:rPr>
                <w:rFonts w:ascii="Arial" w:hAnsi="Arial"/>
              </w:rPr>
              <w:t>[výsledná cena v EUR/MWh bez DPH a SD]</w:t>
            </w:r>
          </w:p>
        </w:tc>
      </w:tr>
      <w:tr>
        <w:tc>
          <w:tcPr>
            <w:tcW w:type="dxa" w:w="2835"/>
          </w:tcPr>
          <w:p>
            <w:r/>
            <w:r>
              <w:rPr>
                <w:rFonts w:ascii="Arial" w:hAnsi="Arial"/>
                <w:b/>
              </w:rPr>
              <w:t>Objem Tranže (MWh):</w:t>
            </w:r>
          </w:p>
        </w:tc>
        <w:tc>
          <w:tcPr>
            <w:tcW w:type="dxa" w:w="6236"/>
          </w:tcPr>
          <w:p>
            <w:r/>
            <w:r>
              <w:rPr>
                <w:rFonts w:ascii="Arial" w:hAnsi="Arial"/>
              </w:rPr>
              <w:t>[konkrétny objem]</w:t>
            </w:r>
          </w:p>
        </w:tc>
      </w:tr>
      <w:tr>
        <w:tc>
          <w:tcPr>
            <w:tcW w:type="dxa" w:w="2835"/>
          </w:tcPr>
          <w:p>
            <w:r/>
            <w:r>
              <w:rPr>
                <w:rFonts w:ascii="Arial" w:hAnsi="Arial"/>
                <w:b/>
              </w:rPr>
              <w:t>Kumulatívny objem fixovaný v príslušnom roku (% KZOO):</w:t>
            </w:r>
          </w:p>
        </w:tc>
        <w:tc>
          <w:tcPr>
            <w:tcW w:type="dxa" w:w="6236"/>
          </w:tcPr>
          <w:p>
            <w:r/>
            <w:r>
              <w:rPr>
                <w:rFonts w:ascii="Arial" w:hAnsi="Arial"/>
              </w:rPr>
              <w:t>[%]</w:t>
            </w:r>
          </w:p>
        </w:tc>
      </w:tr>
    </w:tbl>
    <w:p>
      <w:pPr>
        <w:spacing w:after="80"/>
        <w:jc w:val="both"/>
      </w:pPr>
      <w:r>
        <w:rPr>
          <w:rFonts w:ascii="Arial" w:hAnsi="Arial"/>
        </w:rPr>
        <w:t>Za Odberateľa: _________________________  dňa: ___________  podpis: ___________</w:t>
      </w:r>
    </w:p>
    <w:p>
      <w:pPr>
        <w:spacing w:after="80"/>
        <w:jc w:val="both"/>
      </w:pPr>
      <w:r>
        <w:rPr>
          <w:rFonts w:ascii="Arial" w:hAnsi="Arial"/>
        </w:rPr>
        <w:t>Za Dodávateľa: _________________________  dňa: ___________  podpis: ___________</w:t>
      </w:r>
    </w:p>
    <w:p>
      <w:r>
        <w:br w:type="page"/>
      </w:r>
    </w:p>
    <w:p>
      <w:pPr>
        <w:spacing w:before="280" w:after="120"/>
        <w:jc w:val="center"/>
      </w:pPr>
      <w:r>
        <w:rPr>
          <w:rFonts w:ascii="Arial" w:hAnsi="Arial"/>
          <w:b/>
          <w:color w:val="1F4E78"/>
          <w:sz w:val="30"/>
        </w:rPr>
        <w:t>Príloha č. 4   Vzor Krycieho listu</w:t>
      </w:r>
    </w:p>
    <w:p>
      <w:pPr>
        <w:spacing w:after="80"/>
        <w:jc w:val="both"/>
      </w:pPr>
      <w:r>
        <w:rPr>
          <w:rFonts w:ascii="Arial" w:hAnsi="Arial"/>
          <w:i/>
        </w:rPr>
        <w:t>(vyhotovuje Dodávateľ po podpísaní poslednej Konfirmácie za príslušný kalendárny rok, najneskôr do 7 dní)</w:t>
      </w:r>
    </w:p>
    <w:tbl>
      <w:tblPr>
        <w:tblStyle w:val="LightGrid-Accent1"/>
        <w:tblW w:type="auto" w:w="0"/>
        <w:tblLook w:firstColumn="1" w:firstRow="1" w:lastColumn="0" w:lastRow="0" w:noHBand="0" w:noVBand="1" w:val="04A0"/>
      </w:tblPr>
      <w:tblGrid>
        <w:gridCol w:w="5043"/>
        <w:gridCol w:w="5043"/>
      </w:tblGrid>
      <w:tr>
        <w:tc>
          <w:tcPr>
            <w:tcW w:type="dxa" w:w="2835"/>
          </w:tcPr>
          <w:p>
            <w:r/>
            <w:r>
              <w:rPr>
                <w:rFonts w:ascii="Arial" w:hAnsi="Arial"/>
                <w:b/>
              </w:rPr>
              <w:t>Predmet:</w:t>
            </w:r>
          </w:p>
        </w:tc>
        <w:tc>
          <w:tcPr>
            <w:tcW w:type="dxa" w:w="6236"/>
          </w:tcPr>
          <w:p>
            <w:r/>
            <w:r>
              <w:rPr>
                <w:rFonts w:ascii="Arial" w:hAnsi="Arial"/>
              </w:rPr>
              <w:t>Krycí list – stanovenie Konečnej ceny za dodávku elektriny</w:t>
            </w:r>
          </w:p>
        </w:tc>
      </w:tr>
      <w:tr>
        <w:tc>
          <w:tcPr>
            <w:tcW w:type="dxa" w:w="2835"/>
          </w:tcPr>
          <w:p>
            <w:r/>
            <w:r>
              <w:rPr>
                <w:rFonts w:ascii="Arial" w:hAnsi="Arial"/>
                <w:b/>
              </w:rPr>
              <w:t>Číslo zmluvy:</w:t>
            </w:r>
          </w:p>
        </w:tc>
        <w:tc>
          <w:tcPr>
            <w:tcW w:type="dxa" w:w="6236"/>
          </w:tcPr>
          <w:p>
            <w:r/>
            <w:r>
              <w:rPr>
                <w:rFonts w:ascii="Arial" w:hAnsi="Arial"/>
              </w:rPr>
              <w:t>[doplniť]</w:t>
            </w:r>
          </w:p>
        </w:tc>
      </w:tr>
      <w:tr>
        <w:tc>
          <w:tcPr>
            <w:tcW w:type="dxa" w:w="2835"/>
          </w:tcPr>
          <w:p>
            <w:r/>
            <w:r>
              <w:rPr>
                <w:rFonts w:ascii="Arial" w:hAnsi="Arial"/>
                <w:b/>
              </w:rPr>
              <w:t>Dodávateľ:</w:t>
            </w:r>
          </w:p>
        </w:tc>
        <w:tc>
          <w:tcPr>
            <w:tcW w:type="dxa" w:w="6236"/>
          </w:tcPr>
          <w:p>
            <w:r/>
            <w:r>
              <w:rPr>
                <w:rFonts w:ascii="Arial" w:hAnsi="Arial"/>
              </w:rPr>
              <w:t>[obchodné meno, IČO]</w:t>
            </w:r>
          </w:p>
        </w:tc>
      </w:tr>
      <w:tr>
        <w:tc>
          <w:tcPr>
            <w:tcW w:type="dxa" w:w="2835"/>
          </w:tcPr>
          <w:p>
            <w:r/>
            <w:r>
              <w:rPr>
                <w:rFonts w:ascii="Arial" w:hAnsi="Arial"/>
                <w:b/>
              </w:rPr>
              <w:t>Odberateľ:</w:t>
            </w:r>
          </w:p>
        </w:tc>
        <w:tc>
          <w:tcPr>
            <w:tcW w:type="dxa" w:w="6236"/>
          </w:tcPr>
          <w:p>
            <w:r/>
            <w:r>
              <w:rPr>
                <w:rFonts w:ascii="Arial" w:hAnsi="Arial"/>
              </w:rPr>
              <w:t>Mesto Púchov, IČO 00 317 748</w:t>
            </w:r>
          </w:p>
        </w:tc>
      </w:tr>
      <w:tr>
        <w:tc>
          <w:tcPr>
            <w:tcW w:type="dxa" w:w="2835"/>
          </w:tcPr>
          <w:p>
            <w:r/>
            <w:r>
              <w:rPr>
                <w:rFonts w:ascii="Arial" w:hAnsi="Arial"/>
                <w:b/>
              </w:rPr>
              <w:t>Kalendárny rok dodávky:</w:t>
            </w:r>
          </w:p>
        </w:tc>
        <w:tc>
          <w:tcPr>
            <w:tcW w:type="dxa" w:w="6236"/>
          </w:tcPr>
          <w:p>
            <w:r/>
            <w:r>
              <w:rPr>
                <w:rFonts w:ascii="Arial" w:hAnsi="Arial"/>
              </w:rPr>
              <w:t>[2027 / 2028]</w:t>
            </w:r>
          </w:p>
        </w:tc>
      </w:tr>
      <w:tr>
        <w:tc>
          <w:tcPr>
            <w:tcW w:type="dxa" w:w="2835"/>
          </w:tcPr>
          <w:p>
            <w:r/>
            <w:r>
              <w:rPr>
                <w:rFonts w:ascii="Arial" w:hAnsi="Arial"/>
                <w:b/>
              </w:rPr>
              <w:t>Dátum vyhotovenia:</w:t>
            </w:r>
          </w:p>
        </w:tc>
        <w:tc>
          <w:tcPr>
            <w:tcW w:type="dxa" w:w="6236"/>
          </w:tcPr>
          <w:p>
            <w:r/>
            <w:r>
              <w:rPr>
                <w:rFonts w:ascii="Arial" w:hAnsi="Arial"/>
              </w:rPr>
              <w:t>[deň. mesiac. rok]</w:t>
            </w:r>
          </w:p>
        </w:tc>
      </w:tr>
    </w:tbl>
    <w:p>
      <w:pPr>
        <w:spacing w:before="160" w:after="60"/>
      </w:pPr>
      <w:r>
        <w:rPr>
          <w:rFonts w:ascii="Arial" w:hAnsi="Arial"/>
          <w:b/>
          <w:color w:val="2E75B6"/>
          <w:sz w:val="24"/>
        </w:rPr>
        <w:t>Prehľad uzatvorených Konfirmácií:</w:t>
      </w:r>
    </w:p>
    <w:tbl>
      <w:tblPr>
        <w:tblStyle w:val="LightGrid-Accent1"/>
        <w:tblW w:type="auto" w:w="0"/>
        <w:tblLook w:firstColumn="1" w:firstRow="1" w:lastColumn="0" w:lastRow="0" w:noHBand="0" w:noVBand="1" w:val="04A0"/>
      </w:tblPr>
      <w:tblGrid>
        <w:gridCol w:w="2017"/>
        <w:gridCol w:w="2017"/>
        <w:gridCol w:w="2017"/>
        <w:gridCol w:w="2017"/>
        <w:gridCol w:w="2017"/>
      </w:tblGrid>
      <w:tr>
        <w:tc>
          <w:tcPr>
            <w:tcW w:type="dxa" w:w="2017"/>
            <w:shd w:fill="1F4E78"/>
          </w:tcPr>
          <w:p>
            <w:r/>
            <w:r>
              <w:rPr>
                <w:rFonts w:ascii="Arial" w:hAnsi="Arial"/>
                <w:b/>
                <w:color w:val="FFFFFF"/>
              </w:rPr>
              <w:t>Č.</w:t>
            </w:r>
          </w:p>
        </w:tc>
        <w:tc>
          <w:tcPr>
            <w:tcW w:type="dxa" w:w="2017"/>
            <w:shd w:fill="1F4E78"/>
          </w:tcPr>
          <w:p>
            <w:r/>
            <w:r>
              <w:rPr>
                <w:rFonts w:ascii="Arial" w:hAnsi="Arial"/>
                <w:b/>
                <w:color w:val="FFFFFF"/>
              </w:rPr>
              <w:t>Dátum fixácie</w:t>
            </w:r>
          </w:p>
        </w:tc>
        <w:tc>
          <w:tcPr>
            <w:tcW w:type="dxa" w:w="2017"/>
            <w:shd w:fill="1F4E78"/>
          </w:tcPr>
          <w:p>
            <w:r/>
            <w:r>
              <w:rPr>
                <w:rFonts w:ascii="Arial" w:hAnsi="Arial"/>
                <w:b/>
                <w:color w:val="FFFFFF"/>
              </w:rPr>
              <w:t>Objem (MWh)</w:t>
            </w:r>
          </w:p>
        </w:tc>
        <w:tc>
          <w:tcPr>
            <w:tcW w:type="dxa" w:w="2017"/>
            <w:shd w:fill="1F4E78"/>
          </w:tcPr>
          <w:p>
            <w:r/>
            <w:r>
              <w:rPr>
                <w:rFonts w:ascii="Arial" w:hAnsi="Arial"/>
                <w:b/>
                <w:color w:val="FFFFFF"/>
              </w:rPr>
              <w:t>Cal-Xx (EUR/MWh)</w:t>
            </w:r>
          </w:p>
        </w:tc>
        <w:tc>
          <w:tcPr>
            <w:tcW w:type="dxa" w:w="2017"/>
            <w:shd w:fill="1F4E78"/>
          </w:tcPr>
          <w:p>
            <w:r/>
            <w:r>
              <w:rPr>
                <w:rFonts w:ascii="Arial" w:hAnsi="Arial"/>
                <w:b/>
                <w:color w:val="FFFFFF"/>
              </w:rPr>
              <w:t>% KZOO</w:t>
            </w:r>
          </w:p>
        </w:tc>
      </w:tr>
      <w:tr>
        <w:tc>
          <w:tcPr>
            <w:tcW w:type="dxa" w:w="2017"/>
          </w:tcPr>
          <w:p>
            <w:r/>
            <w:r>
              <w:rPr>
                <w:rFonts w:ascii="Arial" w:hAnsi="Arial"/>
              </w:rPr>
              <w:t>1</w:t>
            </w:r>
          </w:p>
        </w:tc>
        <w:tc>
          <w:tcPr>
            <w:tcW w:type="dxa" w:w="2017"/>
          </w:tcPr>
          <w:p>
            <w:r/>
            <w:r>
              <w:rPr>
                <w:rFonts w:ascii="Arial" w:hAnsi="Arial"/>
              </w:rPr>
              <w:t>[dd.mm.rrrr]</w:t>
            </w:r>
          </w:p>
        </w:tc>
        <w:tc>
          <w:tcPr>
            <w:tcW w:type="dxa" w:w="2017"/>
          </w:tcPr>
          <w:p>
            <w:r/>
            <w:r>
              <w:rPr>
                <w:rFonts w:ascii="Arial" w:hAnsi="Arial"/>
              </w:rPr>
              <w:t>[MWh]</w:t>
            </w:r>
          </w:p>
        </w:tc>
        <w:tc>
          <w:tcPr>
            <w:tcW w:type="dxa" w:w="2017"/>
          </w:tcPr>
          <w:p>
            <w:r/>
            <w:r>
              <w:rPr>
                <w:rFonts w:ascii="Arial" w:hAnsi="Arial"/>
              </w:rPr>
              <w:t>[EUR/MWh]</w:t>
            </w:r>
          </w:p>
        </w:tc>
        <w:tc>
          <w:tcPr>
            <w:tcW w:type="dxa" w:w="2017"/>
          </w:tcPr>
          <w:p>
            <w:r/>
            <w:r>
              <w:rPr>
                <w:rFonts w:ascii="Arial" w:hAnsi="Arial"/>
              </w:rPr>
              <w:t>[%]</w:t>
            </w:r>
          </w:p>
        </w:tc>
      </w:tr>
      <w:tr>
        <w:tc>
          <w:tcPr>
            <w:tcW w:type="dxa" w:w="2017"/>
          </w:tcPr>
          <w:p>
            <w:r/>
            <w:r>
              <w:rPr>
                <w:rFonts w:ascii="Arial" w:hAnsi="Arial"/>
              </w:rPr>
              <w:t>2</w:t>
            </w:r>
          </w:p>
        </w:tc>
        <w:tc>
          <w:tcPr>
            <w:tcW w:type="dxa" w:w="2017"/>
          </w:tcPr>
          <w:p>
            <w:r/>
            <w:r>
              <w:rPr>
                <w:rFonts w:ascii="Arial" w:hAnsi="Arial"/>
              </w:rPr>
              <w:t>[dd.mm.rrrr]</w:t>
            </w:r>
          </w:p>
        </w:tc>
        <w:tc>
          <w:tcPr>
            <w:tcW w:type="dxa" w:w="2017"/>
          </w:tcPr>
          <w:p>
            <w:r/>
            <w:r>
              <w:rPr>
                <w:rFonts w:ascii="Arial" w:hAnsi="Arial"/>
              </w:rPr>
              <w:t>[MWh]</w:t>
            </w:r>
          </w:p>
        </w:tc>
        <w:tc>
          <w:tcPr>
            <w:tcW w:type="dxa" w:w="2017"/>
          </w:tcPr>
          <w:p>
            <w:r/>
            <w:r>
              <w:rPr>
                <w:rFonts w:ascii="Arial" w:hAnsi="Arial"/>
              </w:rPr>
              <w:t>[EUR/MWh]</w:t>
            </w:r>
          </w:p>
        </w:tc>
        <w:tc>
          <w:tcPr>
            <w:tcW w:type="dxa" w:w="2017"/>
          </w:tcPr>
          <w:p>
            <w:r/>
            <w:r>
              <w:rPr>
                <w:rFonts w:ascii="Arial" w:hAnsi="Arial"/>
              </w:rPr>
              <w:t>[%]</w:t>
            </w:r>
          </w:p>
        </w:tc>
      </w:tr>
      <w:tr>
        <w:tc>
          <w:tcPr>
            <w:tcW w:type="dxa" w:w="2017"/>
          </w:tcPr>
          <w:p>
            <w:r/>
            <w:r>
              <w:rPr>
                <w:rFonts w:ascii="Arial" w:hAnsi="Arial"/>
              </w:rPr>
              <w:t>...</w:t>
            </w:r>
          </w:p>
        </w:tc>
        <w:tc>
          <w:tcPr>
            <w:tcW w:type="dxa" w:w="2017"/>
          </w:tcPr>
          <w:p>
            <w:r/>
            <w:r>
              <w:rPr>
                <w:rFonts w:ascii="Arial" w:hAnsi="Arial"/>
              </w:rPr>
              <w:t>...</w:t>
            </w:r>
          </w:p>
        </w:tc>
        <w:tc>
          <w:tcPr>
            <w:tcW w:type="dxa" w:w="2017"/>
          </w:tcPr>
          <w:p>
            <w:r/>
            <w:r>
              <w:rPr>
                <w:rFonts w:ascii="Arial" w:hAnsi="Arial"/>
              </w:rPr>
              <w:t>...</w:t>
            </w:r>
          </w:p>
        </w:tc>
        <w:tc>
          <w:tcPr>
            <w:tcW w:type="dxa" w:w="2017"/>
          </w:tcPr>
          <w:p>
            <w:r/>
            <w:r>
              <w:rPr>
                <w:rFonts w:ascii="Arial" w:hAnsi="Arial"/>
              </w:rPr>
              <w:t>...</w:t>
            </w:r>
          </w:p>
        </w:tc>
        <w:tc>
          <w:tcPr>
            <w:tcW w:type="dxa" w:w="2017"/>
          </w:tcPr>
          <w:p>
            <w:r/>
            <w:r>
              <w:rPr>
                <w:rFonts w:ascii="Arial" w:hAnsi="Arial"/>
              </w:rPr>
              <w:t>...</w:t>
            </w:r>
          </w:p>
        </w:tc>
      </w:tr>
      <w:tr>
        <w:tc>
          <w:tcPr>
            <w:tcW w:type="dxa" w:w="2017"/>
          </w:tcPr>
          <w:p>
            <w:r/>
            <w:r>
              <w:rPr>
                <w:rFonts w:ascii="Arial" w:hAnsi="Arial"/>
                <w:b/>
              </w:rPr>
              <w:t>Spolu</w:t>
            </w:r>
          </w:p>
        </w:tc>
        <w:tc>
          <w:tcPr>
            <w:tcW w:type="dxa" w:w="2017"/>
          </w:tcPr>
          <w:p>
            <w:r/>
            <w:r>
              <w:rPr>
                <w:rFonts w:ascii="Arial" w:hAnsi="Arial"/>
                <w:b/>
              </w:rPr>
              <w:t>—</w:t>
            </w:r>
          </w:p>
        </w:tc>
        <w:tc>
          <w:tcPr>
            <w:tcW w:type="dxa" w:w="2017"/>
          </w:tcPr>
          <w:p>
            <w:r/>
            <w:r>
              <w:rPr>
                <w:rFonts w:ascii="Arial" w:hAnsi="Arial"/>
                <w:b/>
              </w:rPr>
              <w:t>[Σ MWh]</w:t>
            </w:r>
          </w:p>
        </w:tc>
        <w:tc>
          <w:tcPr>
            <w:tcW w:type="dxa" w:w="2017"/>
          </w:tcPr>
          <w:p>
            <w:r/>
            <w:r>
              <w:rPr>
                <w:rFonts w:ascii="Arial" w:hAnsi="Arial"/>
                <w:b/>
              </w:rPr>
              <w:t>—</w:t>
            </w:r>
          </w:p>
        </w:tc>
        <w:tc>
          <w:tcPr>
            <w:tcW w:type="dxa" w:w="2017"/>
          </w:tcPr>
          <w:p>
            <w:r/>
            <w:r>
              <w:rPr>
                <w:rFonts w:ascii="Arial" w:hAnsi="Arial"/>
                <w:b/>
              </w:rPr>
              <w:t>100 %</w:t>
            </w:r>
          </w:p>
        </w:tc>
      </w:tr>
    </w:tbl>
    <w:p>
      <w:pPr>
        <w:spacing w:before="160" w:after="60"/>
      </w:pPr>
      <w:r>
        <w:rPr>
          <w:rFonts w:ascii="Arial" w:hAnsi="Arial"/>
          <w:b/>
          <w:color w:val="2E75B6"/>
          <w:sz w:val="24"/>
        </w:rPr>
        <w:t>Výpočet Konečnej ceny:</w:t>
      </w:r>
    </w:p>
    <w:p>
      <w:pPr>
        <w:spacing w:after="80"/>
        <w:jc w:val="both"/>
      </w:pPr>
      <w:r>
        <w:rPr>
          <w:rFonts w:ascii="Arial" w:hAnsi="Arial"/>
          <w:b/>
        </w:rPr>
        <w:t xml:space="preserve">Vážený priemer Cal-rok = Σ (Cal-Xx_i × MWh_i) / Σ MWh_i = </w:t>
      </w:r>
      <w:r>
        <w:rPr>
          <w:rFonts w:ascii="Arial" w:hAnsi="Arial"/>
        </w:rPr>
        <w:t>[vypočítaná hodnota EUR/MWh, zaokrúhlená na 4 desat. miesta]</w:t>
      </w:r>
    </w:p>
    <w:p>
      <w:pPr>
        <w:spacing w:after="80"/>
        <w:jc w:val="both"/>
      </w:pPr>
      <w:r>
        <w:rPr>
          <w:rFonts w:ascii="Arial" w:hAnsi="Arial"/>
          <w:b/>
        </w:rPr>
        <w:t xml:space="preserve">Koeficient K (aditívny, nemenný): </w:t>
      </w:r>
      <w:r>
        <w:rPr>
          <w:rFonts w:ascii="Arial" w:hAnsi="Arial"/>
        </w:rPr>
        <w:t>[hodnota EUR/MWh]</w:t>
      </w:r>
    </w:p>
    <w:p>
      <w:pPr>
        <w:spacing w:after="80"/>
        <w:jc w:val="both"/>
      </w:pPr>
      <w:r>
        <w:rPr>
          <w:rFonts w:ascii="Arial" w:hAnsi="Arial"/>
          <w:b/>
        </w:rPr>
        <w:t xml:space="preserve">Konečná cena 2027/2028 = K + vážený priemer Cal-rok = </w:t>
      </w:r>
      <w:r>
        <w:rPr>
          <w:rFonts w:ascii="Arial" w:hAnsi="Arial"/>
        </w:rPr>
        <w:t>[hodnota EUR/MWh bez DPH a SD]</w:t>
      </w:r>
    </w:p>
    <w:p>
      <w:pPr>
        <w:spacing w:after="80"/>
        <w:jc w:val="both"/>
      </w:pPr>
      <w:r>
        <w:rPr>
          <w:rFonts w:ascii="Arial" w:hAnsi="Arial"/>
        </w:rPr>
        <w:t>Za Odberateľa: _________________________  dňa: ___________  podpis: ___________</w:t>
      </w:r>
    </w:p>
    <w:p>
      <w:pPr>
        <w:spacing w:after="80"/>
        <w:jc w:val="both"/>
      </w:pPr>
      <w:r>
        <w:rPr>
          <w:rFonts w:ascii="Arial" w:hAnsi="Arial"/>
        </w:rPr>
        <w:t>Za Dodávateľa: _________________________  dňa: ___________  podpis: ___________</w:t>
      </w:r>
    </w:p>
    <w:p>
      <w:r>
        <w:br w:type="page"/>
      </w:r>
    </w:p>
    <w:p>
      <w:pPr>
        <w:spacing w:before="280" w:after="120"/>
        <w:jc w:val="center"/>
      </w:pPr>
      <w:r>
        <w:rPr>
          <w:rFonts w:ascii="Arial" w:hAnsi="Arial"/>
          <w:b/>
          <w:color w:val="1F4E78"/>
          <w:sz w:val="30"/>
        </w:rPr>
        <w:t>Príloha č. 5   Obchodné podmienky Dodávateľa (VOP)</w:t>
      </w:r>
    </w:p>
    <w:p>
      <w:pPr>
        <w:spacing w:after="80"/>
        <w:jc w:val="both"/>
      </w:pPr>
      <w:r>
        <w:rPr>
          <w:rFonts w:ascii="Arial" w:hAnsi="Arial"/>
          <w:b/>
        </w:rPr>
        <w:t>Pred uzavretím Zmluvy úspešný uchádzač predloží svoje Obchodné podmienky (VOP), ktoré sa stanú Prílohou č. 5 tejto Rámcovej dohody.</w:t>
      </w:r>
    </w:p>
    <w:p>
      <w:pPr>
        <w:spacing w:after="80"/>
        <w:jc w:val="both"/>
      </w:pPr>
      <w:r>
        <w:rPr>
          <w:rFonts w:ascii="Arial" w:hAnsi="Arial"/>
        </w:rPr>
        <w:t xml:space="preserve">Pre aplikáciu VOP platí </w:t>
      </w:r>
      <w:r>
        <w:rPr>
          <w:rFonts w:ascii="Arial" w:hAnsi="Arial"/>
          <w:b/>
        </w:rPr>
        <w:t>klauzula prednosti uvedená v Článku I (definícia OP) Zmluvy</w:t>
      </w:r>
      <w:r>
        <w:rPr>
          <w:rFonts w:ascii="Arial" w:hAnsi="Arial"/>
        </w:rPr>
        <w:t xml:space="preserve"> – v prípade rozporu medzi VOP a Zmluvou majú prednosť ustanovenia Zmluvy. Dodávateľ nie je oprávnený jednostranne meniť VOP počas trvania Zmluvy bez písomného súhlasu Odberateľa.</w:t>
      </w:r>
    </w:p>
    <w:p>
      <w:pPr>
        <w:spacing w:after="80"/>
        <w:jc w:val="both"/>
      </w:pPr>
      <w:r>
        <w:rPr>
          <w:rFonts w:ascii="Arial" w:hAnsi="Arial"/>
          <w:i/>
        </w:rPr>
        <w:t>Obsah Prílohy č. 5 doplní úspešný uchádzač pred uzavretím Zmluvy.</w:t>
      </w:r>
    </w:p>
    <w:p>
      <w:r>
        <w:br w:type="page"/>
      </w:r>
    </w:p>
    <w:p>
      <w:pPr>
        <w:spacing w:before="280" w:after="120"/>
        <w:jc w:val="center"/>
      </w:pPr>
      <w:r>
        <w:rPr>
          <w:rFonts w:ascii="Arial" w:hAnsi="Arial"/>
          <w:b/>
          <w:color w:val="1F4E78"/>
          <w:sz w:val="30"/>
        </w:rPr>
        <w:t>Príloha č. 6   Licencia Dodávateľa</w:t>
      </w:r>
    </w:p>
    <w:p>
      <w:pPr>
        <w:spacing w:after="80"/>
        <w:jc w:val="both"/>
      </w:pPr>
      <w:r>
        <w:rPr>
          <w:rFonts w:ascii="Arial" w:hAnsi="Arial"/>
          <w:b/>
        </w:rPr>
        <w:t>Pred uzavretím Zmluvy úspešný uchádzač predloží platné Povolenie ÚRSO</w:t>
      </w:r>
      <w:r>
        <w:rPr>
          <w:rFonts w:ascii="Arial" w:hAnsi="Arial"/>
        </w:rPr>
        <w:t xml:space="preserve"> na podnikanie v energetike podľa § 6 zákona č. 251/2012 Z. z. pre činnosť dodávky elektriny.</w:t>
      </w:r>
    </w:p>
    <w:tbl>
      <w:tblPr>
        <w:tblStyle w:val="LightGrid-Accent1"/>
        <w:tblW w:type="auto" w:w="0"/>
        <w:tblLook w:firstColumn="1" w:firstRow="1" w:lastColumn="0" w:lastRow="0" w:noHBand="0" w:noVBand="1" w:val="04A0"/>
      </w:tblPr>
      <w:tblGrid>
        <w:gridCol w:w="5043"/>
        <w:gridCol w:w="5043"/>
      </w:tblGrid>
      <w:tr>
        <w:tc>
          <w:tcPr>
            <w:tcW w:type="dxa" w:w="2835"/>
          </w:tcPr>
          <w:p>
            <w:r/>
            <w:r>
              <w:rPr>
                <w:rFonts w:ascii="Arial" w:hAnsi="Arial"/>
                <w:b/>
              </w:rPr>
              <w:t>Číslo povolenia ÚRSO:</w:t>
            </w:r>
          </w:p>
        </w:tc>
        <w:tc>
          <w:tcPr>
            <w:tcW w:type="dxa" w:w="6236"/>
          </w:tcPr>
          <w:p>
            <w:r/>
            <w:r>
              <w:rPr>
                <w:rFonts w:ascii="Arial" w:hAnsi="Arial"/>
              </w:rPr>
              <w:t>[doplní úspešný uchádzač]</w:t>
            </w:r>
          </w:p>
        </w:tc>
      </w:tr>
      <w:tr>
        <w:tc>
          <w:tcPr>
            <w:tcW w:type="dxa" w:w="2835"/>
          </w:tcPr>
          <w:p>
            <w:r/>
            <w:r>
              <w:rPr>
                <w:rFonts w:ascii="Arial" w:hAnsi="Arial"/>
                <w:b/>
              </w:rPr>
              <w:t>Dátum vydania:</w:t>
            </w:r>
          </w:p>
        </w:tc>
        <w:tc>
          <w:tcPr>
            <w:tcW w:type="dxa" w:w="6236"/>
          </w:tcPr>
          <w:p>
            <w:r/>
            <w:r>
              <w:rPr>
                <w:rFonts w:ascii="Arial" w:hAnsi="Arial"/>
              </w:rPr>
              <w:t>[doplní úspešný uchádzač]</w:t>
            </w:r>
          </w:p>
        </w:tc>
      </w:tr>
      <w:tr>
        <w:tc>
          <w:tcPr>
            <w:tcW w:type="dxa" w:w="2835"/>
          </w:tcPr>
          <w:p>
            <w:r/>
            <w:r>
              <w:rPr>
                <w:rFonts w:ascii="Arial" w:hAnsi="Arial"/>
                <w:b/>
              </w:rPr>
              <w:t>Platnosť:</w:t>
            </w:r>
          </w:p>
        </w:tc>
        <w:tc>
          <w:tcPr>
            <w:tcW w:type="dxa" w:w="6236"/>
          </w:tcPr>
          <w:p>
            <w:r/>
            <w:r>
              <w:rPr>
                <w:rFonts w:ascii="Arial" w:hAnsi="Arial"/>
              </w:rPr>
              <w:t>[doplní úspešný uchádzač – povolenie musí byť platné po celú dobu trvania Zmluvy]</w:t>
            </w:r>
          </w:p>
        </w:tc>
      </w:tr>
    </w:tbl>
    <w:p>
      <w:pPr>
        <w:spacing w:after="80"/>
        <w:jc w:val="both"/>
      </w:pPr>
      <w:r>
        <w:rPr>
          <w:rFonts w:ascii="Arial" w:hAnsi="Arial"/>
          <w:i/>
        </w:rPr>
        <w:t>Obsah Prílohy č. 6 doplní úspešný uchádzač pred uzavretím Zmluvy formou kópie platnej licencie ÚRSO.</w:t>
      </w:r>
    </w:p>
    <w:p/>
    <w:p>
      <w:pPr>
        <w:spacing w:before="280" w:after="120"/>
        <w:jc w:val="center"/>
      </w:pPr>
      <w:r>
        <w:rPr>
          <w:rFonts w:ascii="Arial" w:hAnsi="Arial"/>
          <w:i/>
        </w:rPr>
        <w:t xml:space="preserve">Príloha č. 7   Zoznam Obstarávateľov</w:t>
      </w:r>
    </w:p>
    <w:p>
      <w:r>
        <w:rPr>
          <w:rFonts w:ascii="Arial" w:hAnsi="Arial"/>
          <w:i/>
        </w:rPr>
        <w:t xml:space="preserve">Zoznam verejných obstarávateľov, ktorí sa zúčastnili príležitostného spoločného verejného obstarávania podľa § 16 ZVO na dodávku elektriny na obdobie 2027 – 2028. Vedúcim obstarávateľom (Splnomocneným Odberateľom) je Mesto Púchov.</w:t>
      </w:r>
    </w:p>
    <w:p>
      <w:r>
        <w:rPr>
          <w:rFonts w:ascii="Arial" w:hAnsi="Arial"/>
          <w:i/>
        </w:rPr>
        <w:t xml:space="preserve">1.  Mesto Púchov – Štefánikova 821/21, 020 01 Púchov – IČO: 00 317 748 – DIČ: 2020615630</w:t>
      </w:r>
    </w:p>
    <w:p>
      <w:r>
        <w:rPr>
          <w:rFonts w:ascii="Arial" w:hAnsi="Arial"/>
          <w:i/>
        </w:rPr>
        <w:t xml:space="preserve">2.  Púchovská kultúra, s. r. o. – Hoenningovo námestie 2002, 020 01 Púchov – IČO: 50 648 616 – DIČ: 2120420610</w:t>
      </w:r>
    </w:p>
    <w:p>
      <w:r>
        <w:rPr>
          <w:rFonts w:ascii="Arial" w:hAnsi="Arial"/>
          <w:i/>
        </w:rPr>
        <w:t xml:space="preserve">3.  Podnik technických služieb mesta, s. r. o. – ul. Športovcov 89, 020 01 Púchov – IČO: 36 321 893 – DIČ: 2020110675</w:t>
      </w:r>
    </w:p>
    <w:p>
      <w:r>
        <w:rPr>
          <w:rFonts w:ascii="Arial" w:hAnsi="Arial"/>
          <w:i/>
        </w:rPr>
        <w:t xml:space="preserve">4.  MŠK Púchov, s. r. o. – Ul. 1. mája 834/29, 020 01 Púchov – IČO: 36 332 500 – DIČ: 2021774557</w:t>
      </w:r>
    </w:p>
    <w:p>
      <w:r>
        <w:rPr>
          <w:rFonts w:ascii="Arial" w:hAnsi="Arial"/>
          <w:i/>
        </w:rPr>
        <w:t xml:space="preserve">5.  Autobusová doprava Púchov, a. s. – ul. Trenčianska 460, 020 01 Púchov – IČO: 31 643 884 – DIČ: 2020611560</w:t>
      </w:r>
    </w:p>
    <w:p>
      <w:r>
        <w:rPr>
          <w:rFonts w:ascii="Arial" w:hAnsi="Arial"/>
          <w:i/>
        </w:rPr>
        <w:t xml:space="preserve">6.  Základná umelecká škola, Poštová 809/1 – Poštová 809/1, 020 01 Púchov – IČO: 36 128 376 – DIČ: 2021640698</w:t>
      </w:r>
    </w:p>
    <w:p>
      <w:r>
        <w:rPr>
          <w:rFonts w:ascii="Arial" w:hAnsi="Arial"/>
          <w:i/>
        </w:rPr>
        <w:t xml:space="preserve">7.  Základná škola Jana Amosa Komenského – Komenského 652/50, 020 01 Púchov – IČO: 35 995 904 – DIČ: 2020982491</w:t>
      </w:r>
    </w:p>
    <w:p>
      <w:r>
        <w:rPr>
          <w:rFonts w:ascii="Arial" w:hAnsi="Arial"/>
          <w:i/>
        </w:rPr>
        <w:t xml:space="preserve">8.  Základná škola, Gorazdova 1174/2 – Gorazdova 1174/2, 020 01 Púchov – IČO: 35 995 912 – DIČ: 2020956806</w:t>
      </w:r>
    </w:p>
    <w:p>
      <w:r>
        <w:rPr>
          <w:rFonts w:ascii="Arial" w:hAnsi="Arial"/>
          <w:i/>
        </w:rPr>
        <w:t xml:space="preserve">9.  Základná škola, Mládežnícka 1434/16 – Mládežnícka 1434/16, 020 01 Púchov – IČO: 31 202 420 – DIČ: 2021363003</w:t>
      </w:r>
    </w:p>
    <w:p>
      <w:r>
        <w:rPr>
          <w:rFonts w:ascii="Arial" w:hAnsi="Arial"/>
          <w:i/>
        </w:rPr>
        <w:t xml:space="preserve">10.  Základná škola s materskou školou, Slovanská 330/23 – Slovanská 330/23, 020 01 Púchov – IČO: 36 125 784 – DIČ: 2021610085</w:t>
      </w:r>
    </w:p>
    <w:p>
      <w:r>
        <w:rPr>
          <w:rFonts w:ascii="Arial" w:hAnsi="Arial"/>
          <w:i/>
        </w:rPr>
        <w:t xml:space="preserve">11.  Materská škola, Chmelinec 1411/6 – Chmelinec 1411/6, 020 01 Púchov – IČO: 36 129 682 – DIČ: 2021669749</w:t>
      </w:r>
    </w:p>
    <w:p>
      <w:r>
        <w:rPr>
          <w:rFonts w:ascii="Arial" w:hAnsi="Arial"/>
          <w:i/>
        </w:rPr>
        <w:t xml:space="preserve">12.  Materská škola, Mládežnícka 1438/13 – Mládežnícka 1438/13, 020 01 Púchov – IČO: 36 129 691 – DIČ: 2021672510</w:t>
      </w:r>
    </w:p>
    <w:p>
      <w:r>
        <w:rPr>
          <w:rFonts w:ascii="Arial" w:hAnsi="Arial"/>
          <w:i/>
        </w:rPr>
        <w:t xml:space="preserve">13.  Materská škola, Nosice 221 – Nosice 221, 020 01 Púchov – IČO: 36 130 702 – DIČ: 2021691782</w:t>
      </w:r>
    </w:p>
    <w:p>
      <w:r>
        <w:rPr>
          <w:rFonts w:ascii="Arial" w:hAnsi="Arial"/>
          <w:i/>
        </w:rPr>
        <w:t xml:space="preserve">14.  Materská škola, 1. mája 1348/28 – 1. mája 1348/28, 020 01 Púchov – IČO: 36 130 711 – DIČ: 2021687855</w:t>
      </w:r>
    </w:p>
    <w:p>
      <w:r>
        <w:rPr>
          <w:rFonts w:ascii="Arial" w:hAnsi="Arial"/>
          <w:i/>
        </w:rPr>
        <w:t xml:space="preserve">15.  Materská škola, Požiarna 1291/26 – Požiarna 1291/26, 020 01 Púchov – IČO: 37 914 961 – DIČ: 2021745033</w:t>
      </w:r>
    </w:p>
    <w:p>
      <w:r>
        <w:rPr>
          <w:rFonts w:ascii="Arial" w:hAnsi="Arial"/>
          <w:i/>
        </w:rPr>
        <w:t xml:space="preserve">16.  Materská škola, Požiarna 1292/11 – Požiarna 1292/11, 020 01 Púchov – IČO: 36 130 974 – DIČ: 2021687899</w:t>
      </w:r>
    </w:p>
    <w:p/>
    <w:p>
      <w:r>
        <w:rPr>
          <w:rFonts w:ascii="Arial" w:hAnsi="Arial"/>
          <w:i/>
        </w:rPr>
        <w:t xml:space="preserve">Bankové spojenie a kontaktné údaje jednotlivých Obstarávateľov budú špecifikované v Čiastkových zmluvách podľa Prílohy č. 3B súťažných podkladov, ktoré s Dodávateľom uzatvárajú jednotliví Obstarávatelia (mimo Mesta Púchov).</w:t>
      </w:r>
    </w:p>
    <w:sectPr w:rsidR="00FC693F" w:rsidRPr="0006063C" w:rsidSect="00034616">
      <w:pgSz w:w="12240" w:h="15840"/>
      <w:pgMar w:top="1077" w:right="1077" w:bottom="1077" w:left="107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